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tabs>
          <w:tab w:val="left" w:leader="none" w:pos="2573"/>
          <w:tab w:val="center" w:leader="none" w:pos="5079"/>
          <w:tab w:val="left" w:leader="none" w:pos="6940"/>
        </w:tabs>
        <w:spacing w:before="240" w:after="0" w:lineRule="auto" w:line="240"/>
        <w:jc w:val="center"/>
        <w:rPr>
          <w:rFonts w:ascii="Times New Roman" w:cs="Times New Roman" w:eastAsia="Times New Roman" w:hAnsi="Times New Roman"/>
          <w:b/>
          <w:bCs/>
          <w:iCs/>
          <w:color w:val="000000"/>
          <w:sz w:val="28"/>
          <w:szCs w:val="28"/>
        </w:rPr>
      </w:pPr>
      <w:r>
        <w:rPr>
          <w:rFonts w:ascii="Times New Roman" w:cs="Times New Roman" w:eastAsia="Times New Roman" w:hAnsi="Times New Roman"/>
          <w:b/>
          <w:bCs/>
          <w:iCs/>
          <w:color w:val="000000"/>
          <w:sz w:val="28"/>
          <w:szCs w:val="28"/>
        </w:rPr>
        <w:t>Transarterial</w:t>
      </w:r>
      <w:r>
        <w:rPr>
          <w:rFonts w:ascii="Times New Roman" w:cs="Times New Roman" w:eastAsia="Times New Roman" w:hAnsi="Times New Roman"/>
          <w:b/>
          <w:bCs/>
          <w:iCs/>
          <w:color w:val="000000"/>
          <w:sz w:val="28"/>
          <w:szCs w:val="28"/>
        </w:rPr>
        <w:t xml:space="preserve"> Chemoembolization for Inoperable Early-Stage Hepatocellular Carcinoma in Patients with Child-Pugh Grade A</w:t>
      </w:r>
    </w:p>
    <w:p>
      <w:pPr>
        <w:pStyle w:val="style0"/>
        <w:tabs>
          <w:tab w:val="left" w:leader="none" w:pos="2573"/>
          <w:tab w:val="center" w:leader="none" w:pos="5079"/>
          <w:tab w:val="left" w:leader="none" w:pos="6940"/>
        </w:tabs>
        <w:spacing w:before="240" w:after="0" w:lineRule="auto" w:line="240"/>
        <w:jc w:val="center"/>
        <w:rPr>
          <w:rFonts w:ascii="Times New Roman" w:cs="Times New Roman" w:eastAsia="Times New Roman" w:hAnsi="Times New Roman"/>
          <w:b/>
          <w:bCs/>
          <w:iCs/>
          <w:color w:val="000000"/>
          <w:sz w:val="20"/>
          <w:szCs w:val="20"/>
        </w:rPr>
      </w:pPr>
      <w:r>
        <w:rPr>
          <w:rFonts w:ascii="Times New Roman" w:cs="Times New Roman" w:eastAsia="Times New Roman" w:hAnsi="Times New Roman"/>
          <w:b/>
          <w:bCs/>
          <w:iCs/>
          <w:color w:val="000000"/>
          <w:sz w:val="20"/>
          <w:szCs w:val="20"/>
        </w:rPr>
        <w:t xml:space="preserve">Talal Ahmed Youssef Amer, Mohamed Abdel Hameed Ahmed </w:t>
      </w:r>
      <w:r>
        <w:rPr>
          <w:rFonts w:ascii="Times New Roman" w:cs="Times New Roman" w:eastAsia="Times New Roman" w:hAnsi="Times New Roman"/>
          <w:b/>
          <w:bCs/>
          <w:iCs/>
          <w:color w:val="000000"/>
          <w:sz w:val="20"/>
          <w:szCs w:val="20"/>
        </w:rPr>
        <w:t>Elserwi</w:t>
      </w:r>
      <w:r>
        <w:rPr>
          <w:rFonts w:ascii="Times New Roman" w:cs="Times New Roman" w:eastAsia="Times New Roman" w:hAnsi="Times New Roman"/>
          <w:b/>
          <w:bCs/>
          <w:iCs/>
          <w:color w:val="000000"/>
          <w:sz w:val="20"/>
          <w:szCs w:val="20"/>
        </w:rPr>
        <w:t xml:space="preserve">*, Mohamed </w:t>
      </w:r>
      <w:r>
        <w:rPr>
          <w:rFonts w:ascii="Times New Roman" w:cs="Times New Roman" w:eastAsia="Times New Roman" w:hAnsi="Times New Roman"/>
          <w:b/>
          <w:bCs/>
          <w:iCs/>
          <w:color w:val="000000"/>
          <w:sz w:val="20"/>
          <w:szCs w:val="20"/>
        </w:rPr>
        <w:t>Mohamed</w:t>
      </w:r>
      <w:r>
        <w:rPr>
          <w:rFonts w:ascii="Times New Roman" w:cs="Times New Roman" w:eastAsia="Times New Roman" w:hAnsi="Times New Roman"/>
          <w:b/>
          <w:bCs/>
          <w:iCs/>
          <w:color w:val="000000"/>
          <w:sz w:val="20"/>
          <w:szCs w:val="20"/>
        </w:rPr>
        <w:t xml:space="preserve"> </w:t>
      </w:r>
      <w:r>
        <w:rPr>
          <w:rFonts w:ascii="Times New Roman" w:cs="Times New Roman" w:eastAsia="Times New Roman" w:hAnsi="Times New Roman"/>
          <w:b/>
          <w:bCs/>
          <w:iCs/>
          <w:color w:val="000000"/>
          <w:sz w:val="20"/>
          <w:szCs w:val="20"/>
        </w:rPr>
        <w:t>Hosney</w:t>
      </w:r>
      <w:r>
        <w:rPr>
          <w:rFonts w:ascii="Times New Roman" w:cs="Times New Roman" w:eastAsia="Times New Roman" w:hAnsi="Times New Roman"/>
          <w:b/>
          <w:bCs/>
          <w:iCs/>
          <w:color w:val="000000"/>
          <w:sz w:val="20"/>
          <w:szCs w:val="20"/>
        </w:rPr>
        <w:t xml:space="preserve"> Faheem</w:t>
      </w:r>
    </w:p>
    <w:p>
      <w:pPr>
        <w:pStyle w:val="style0"/>
        <w:tabs>
          <w:tab w:val="left" w:leader="none" w:pos="2573"/>
          <w:tab w:val="center" w:leader="none" w:pos="5079"/>
          <w:tab w:val="left" w:leader="none" w:pos="6940"/>
        </w:tabs>
        <w:spacing w:before="240" w:after="0" w:lineRule="auto" w:line="240"/>
        <w:jc w:val="center"/>
        <w:rPr>
          <w:rFonts w:ascii="Times New Roman" w:cs="Times New Roman" w:eastAsia="Times New Roman" w:hAnsi="Times New Roman"/>
          <w:b/>
          <w:bCs/>
          <w:iCs/>
          <w:color w:val="000000"/>
          <w:sz w:val="20"/>
          <w:szCs w:val="20"/>
          <w:lang w:bidi="ar-EG"/>
        </w:rPr>
      </w:pPr>
      <w:r>
        <w:rPr>
          <w:rFonts w:ascii="Times New Roman" w:cs="Times New Roman" w:eastAsia="Times New Roman" w:hAnsi="Times New Roman"/>
          <w:b/>
          <w:bCs/>
          <w:iCs/>
          <w:color w:val="000000"/>
          <w:sz w:val="20"/>
          <w:szCs w:val="20"/>
        </w:rPr>
        <w:t xml:space="preserve">E-mail : </w:t>
      </w:r>
      <w:r>
        <w:rPr>
          <w:rFonts w:ascii="Times New Roman" w:cs="Times New Roman" w:eastAsia="Times New Roman" w:hAnsi="Times New Roman"/>
          <w:b/>
          <w:bCs/>
          <w:iCs/>
          <w:color w:val="000000"/>
          <w:sz w:val="20"/>
          <w:szCs w:val="20"/>
        </w:rPr>
        <w:t>bfm7md89@gmail.com</w:t>
      </w:r>
    </w:p>
    <w:p>
      <w:pPr>
        <w:pStyle w:val="style4100"/>
        <w:spacing w:after="0" w:lineRule="auto" w:line="240"/>
        <w:jc w:val="lowKashida"/>
        <w:rPr/>
        <w:sectPr>
          <w:pgSz w:w="11906" w:h="16838" w:orient="portrait" w:code="9"/>
          <w:pgMar w:top="1440" w:right="1800" w:bottom="1440" w:left="1800" w:header="720" w:footer="720" w:gutter="0"/>
          <w:cols w:space="720"/>
          <w:docGrid w:linePitch="360"/>
        </w:sectPr>
      </w:pPr>
    </w:p>
    <w:p>
      <w:pPr>
        <w:pStyle w:val="style4100"/>
        <w:spacing w:after="0" w:lineRule="auto" w:line="240"/>
        <w:jc w:val="lowKashida"/>
        <w:rPr/>
      </w:pPr>
      <w:r>
        <w:t xml:space="preserve">Abstract </w:t>
      </w:r>
    </w:p>
    <w:p>
      <w:pPr>
        <w:pStyle w:val="style4097"/>
        <w:spacing w:before="240" w:after="0" w:lineRule="auto" w:line="240"/>
        <w:ind w:firstLine="0"/>
        <w:jc w:val="lowKashida"/>
        <w:rPr>
          <w:sz w:val="20"/>
          <w:szCs w:val="20"/>
          <w:rtl/>
          <w:lang w:val="en-US"/>
        </w:rPr>
      </w:pPr>
      <w:r>
        <w:rPr>
          <w:b/>
          <w:bCs/>
          <w:sz w:val="20"/>
          <w:szCs w:val="20"/>
        </w:rPr>
        <w:t>Background:</w:t>
      </w:r>
      <w:r>
        <w:rPr>
          <w:sz w:val="20"/>
          <w:szCs w:val="20"/>
        </w:rPr>
        <w:t xml:space="preserve"> </w:t>
      </w:r>
      <w:r>
        <w:rPr>
          <w:sz w:val="20"/>
          <w:szCs w:val="20"/>
          <w:lang w:val="en-US"/>
        </w:rPr>
        <w:t xml:space="preserve">Gastrointestinal cancer </w:t>
      </w:r>
      <w:r>
        <w:rPr>
          <w:sz w:val="20"/>
          <w:szCs w:val="20"/>
          <w:lang w:val="en-US"/>
        </w:rPr>
        <w:t>As</w:t>
      </w:r>
      <w:r>
        <w:rPr>
          <w:sz w:val="20"/>
          <w:szCs w:val="20"/>
          <w:lang w:val="en-US"/>
        </w:rPr>
        <w:t xml:space="preserve"> the main killer of cirrhotic patients, HCC is a major worldwide health problem, accounting for more than 5% of all malignancies. The goal of this review was to talk about how TACE responds to </w:t>
      </w:r>
      <w:r>
        <w:rPr>
          <w:sz w:val="20"/>
          <w:szCs w:val="20"/>
          <w:lang w:val="en-US"/>
        </w:rPr>
        <w:t>tumours</w:t>
      </w:r>
      <w:r>
        <w:rPr>
          <w:sz w:val="20"/>
          <w:szCs w:val="20"/>
          <w:lang w:val="en-US"/>
        </w:rPr>
        <w:t xml:space="preserve"> in people who have HCC that is Child Pugh Grade A. </w:t>
      </w:r>
      <w:r>
        <w:rPr>
          <w:b/>
          <w:bCs/>
          <w:sz w:val="20"/>
          <w:szCs w:val="20"/>
          <w:lang w:val="en-US"/>
        </w:rPr>
        <w:t>Results:</w:t>
      </w:r>
      <w:r>
        <w:rPr>
          <w:sz w:val="20"/>
          <w:szCs w:val="20"/>
          <w:lang w:val="en-US"/>
        </w:rPr>
        <w:t xml:space="preserve"> Patients with Child-Pugh Grade </w:t>
      </w:r>
      <w:r>
        <w:rPr>
          <w:sz w:val="20"/>
          <w:szCs w:val="20"/>
          <w:lang w:val="en-US"/>
        </w:rPr>
        <w:t>A</w:t>
      </w:r>
      <w:r>
        <w:rPr>
          <w:sz w:val="20"/>
          <w:szCs w:val="20"/>
          <w:lang w:val="en-US"/>
        </w:rPr>
        <w:t xml:space="preserve"> early-stage hepatocellular carcinoma who are unable to undergo surgery may benefit greatly from TACE, as shown by the study's 60% complete response rate. Importantly, the research found that a good prognosis after TACE is strongly predicted by a lower </w:t>
      </w:r>
      <w:r>
        <w:rPr>
          <w:sz w:val="20"/>
          <w:szCs w:val="20"/>
          <w:lang w:val="en-US"/>
        </w:rPr>
        <w:t>tumour</w:t>
      </w:r>
      <w:r>
        <w:rPr>
          <w:sz w:val="20"/>
          <w:szCs w:val="20"/>
          <w:lang w:val="en-US"/>
        </w:rPr>
        <w:t xml:space="preserve"> size, the lack of an expanded belly, and ultrasonography homogeneity. In order to </w:t>
      </w:r>
      <w:r>
        <w:rPr>
          <w:sz w:val="20"/>
          <w:szCs w:val="20"/>
          <w:lang w:val="en-US"/>
        </w:rPr>
        <w:t>optimise</w:t>
      </w:r>
      <w:r>
        <w:rPr>
          <w:sz w:val="20"/>
          <w:szCs w:val="20"/>
          <w:lang w:val="en-US"/>
        </w:rPr>
        <w:t xml:space="preserve"> patient selection and improve clinical results for HCC patients, it is crucial to consider </w:t>
      </w:r>
      <w:r>
        <w:rPr>
          <w:sz w:val="20"/>
          <w:szCs w:val="20"/>
          <w:lang w:val="en-US"/>
        </w:rPr>
        <w:t>tumour</w:t>
      </w:r>
      <w:r>
        <w:rPr>
          <w:sz w:val="20"/>
          <w:szCs w:val="20"/>
          <w:lang w:val="en-US"/>
        </w:rPr>
        <w:t xml:space="preserve"> features and clinical presentation when predicting TACE outcomes.</w:t>
      </w:r>
    </w:p>
    <w:p>
      <w:pPr>
        <w:pStyle w:val="style4097"/>
        <w:spacing w:before="240" w:after="0" w:lineRule="auto" w:line="240"/>
        <w:ind w:firstLine="0"/>
        <w:jc w:val="lowKashida"/>
        <w:rPr>
          <w:sz w:val="20"/>
          <w:szCs w:val="20"/>
          <w:rtl/>
        </w:rPr>
      </w:pPr>
      <w:r>
        <w:rPr>
          <w:b/>
          <w:bCs/>
          <w:sz w:val="20"/>
          <w:szCs w:val="20"/>
        </w:rPr>
        <w:t>Keywords</w:t>
      </w:r>
      <w:r>
        <w:rPr>
          <w:b/>
          <w:bCs/>
          <w:sz w:val="20"/>
          <w:szCs w:val="20"/>
        </w:rPr>
        <w:t>:</w:t>
      </w:r>
      <w:r>
        <w:rPr>
          <w:b/>
          <w:bCs/>
          <w:sz w:val="20"/>
          <w:szCs w:val="20"/>
        </w:rPr>
        <w:t xml:space="preserve"> </w:t>
      </w:r>
      <w:r>
        <w:rPr>
          <w:sz w:val="20"/>
          <w:szCs w:val="20"/>
        </w:rPr>
        <w:t>Chemoembolization of the A-stage liver tumour that cannot be surgically removed; Child-Pugh grade A.</w:t>
      </w:r>
    </w:p>
    <w:p>
      <w:pPr>
        <w:pStyle w:val="style4097"/>
        <w:spacing w:before="240" w:after="0" w:lineRule="auto" w:line="240"/>
        <w:ind w:firstLine="360"/>
        <w:jc w:val="lowKashida"/>
        <w:rPr>
          <w:sz w:val="20"/>
          <w:szCs w:val="20"/>
        </w:rPr>
        <w:sectPr>
          <w:type w:val="continuous"/>
          <w:pgSz w:w="11906" w:h="16838" w:orient="portrait" w:code="9"/>
          <w:pgMar w:top="1440" w:right="1800" w:bottom="1440" w:left="1800" w:header="720" w:footer="720" w:gutter="0"/>
          <w:cols w:space="720"/>
          <w:docGrid w:linePitch="360"/>
        </w:sectPr>
      </w:pPr>
    </w:p>
    <w:p>
      <w:pPr>
        <w:pStyle w:val="style4100"/>
        <w:spacing w:after="0" w:lineRule="auto" w:line="240"/>
        <w:jc w:val="lowKashida"/>
        <w:rPr>
          <w:sz w:val="20"/>
          <w:szCs w:val="20"/>
        </w:rPr>
      </w:pPr>
      <w:r>
        <w:rPr>
          <w:sz w:val="20"/>
          <w:szCs w:val="20"/>
        </w:rPr>
        <w:t>1.</w:t>
      </w:r>
      <w:r>
        <w:rPr>
          <w:sz w:val="20"/>
          <w:szCs w:val="20"/>
        </w:rPr>
        <w:t xml:space="preserve"> </w:t>
      </w:r>
      <w:r>
        <w:rPr>
          <w:sz w:val="20"/>
          <w:szCs w:val="20"/>
        </w:rPr>
        <w:t>Introduction</w:t>
      </w:r>
      <w:r>
        <w:rPr>
          <w:sz w:val="20"/>
          <w:szCs w:val="20"/>
        </w:rPr>
        <w:t>:</w:t>
      </w:r>
    </w:p>
    <w:p>
      <w:pPr>
        <w:pStyle w:val="style0"/>
        <w:spacing w:before="240" w:after="0" w:lineRule="auto" w:line="240"/>
        <w:jc w:val="lowKashida"/>
        <w:rPr>
          <w:rFonts w:ascii="Times New Roman" w:cs="Times New Roman" w:eastAsia="Calibri" w:hAnsi="Times New Roman"/>
          <w:color w:val="000000"/>
          <w:sz w:val="20"/>
          <w:szCs w:val="20"/>
          <w:lang w:val="en-GB" w:eastAsia="zh-CN"/>
        </w:rPr>
      </w:pPr>
      <w:r>
        <w:rPr>
          <w:rFonts w:ascii="Times New Roman" w:cs="Times New Roman" w:eastAsia="Calibri" w:hAnsi="Times New Roman"/>
          <w:color w:val="000000"/>
          <w:sz w:val="20"/>
          <w:szCs w:val="20"/>
          <w:lang w:val="en-GB" w:eastAsia="zh-CN"/>
        </w:rPr>
        <w:t>Patient classification and treatment allocation are determined by tumour stage, liver function tests, and performance status for hepatocellular carcinoma (HCC), the most prevalent primary liver cancer. HCC is the sixth major cause of cancer and the third leading cause of cancer-induced death (1).</w:t>
      </w:r>
    </w:p>
    <w:p>
      <w:pPr>
        <w:pStyle w:val="style0"/>
        <w:spacing w:before="240" w:after="0" w:lineRule="auto" w:line="240"/>
        <w:jc w:val="lowKashida"/>
        <w:rPr>
          <w:rFonts w:ascii="Times New Roman" w:cs="Times New Roman" w:eastAsia="Calibri" w:hAnsi="Times New Roman"/>
          <w:color w:val="000000"/>
          <w:sz w:val="20"/>
          <w:szCs w:val="20"/>
          <w:lang w:val="en-GB" w:eastAsia="zh-CN"/>
        </w:rPr>
      </w:pPr>
      <w:r>
        <w:rPr>
          <w:rFonts w:ascii="Times New Roman" w:cs="Times New Roman" w:eastAsia="Calibri" w:hAnsi="Times New Roman"/>
          <w:color w:val="000000"/>
          <w:sz w:val="20"/>
          <w:szCs w:val="20"/>
          <w:lang w:val="en-GB" w:eastAsia="zh-CN"/>
        </w:rPr>
        <w:t>Medical, surgical, and non-surgical approaches are all available for the treatment of HCC (2).</w:t>
      </w:r>
    </w:p>
    <w:p>
      <w:pPr>
        <w:pStyle w:val="style0"/>
        <w:spacing w:before="240" w:after="0" w:lineRule="auto" w:line="240"/>
        <w:jc w:val="lowKashida"/>
        <w:rPr>
          <w:rFonts w:ascii="Times New Roman" w:cs="Times New Roman" w:eastAsia="Calibri" w:hAnsi="Times New Roman"/>
          <w:color w:val="000000"/>
          <w:sz w:val="20"/>
          <w:szCs w:val="20"/>
          <w:lang w:val="en-GB" w:eastAsia="zh-CN"/>
        </w:rPr>
      </w:pPr>
      <w:r>
        <w:rPr>
          <w:rFonts w:ascii="Times New Roman" w:cs="Times New Roman" w:eastAsia="Calibri" w:hAnsi="Times New Roman"/>
          <w:color w:val="000000"/>
          <w:sz w:val="20"/>
          <w:szCs w:val="20"/>
          <w:lang w:val="en-GB" w:eastAsia="zh-CN"/>
        </w:rPr>
        <w:t>Efficacious palliative and, to a lesser degree, curative treatment is required because, despite the tremendous progress in the treatment of (HCC) and the availability of various curative options, a large percentage of patients aren't candidates for these treatments due to advanced tumour stage or poor general patient condition (3).</w:t>
      </w:r>
    </w:p>
    <w:p>
      <w:pPr>
        <w:pStyle w:val="style0"/>
        <w:spacing w:before="240" w:after="0" w:lineRule="auto" w:line="240"/>
        <w:jc w:val="lowKashida"/>
        <w:rPr>
          <w:rFonts w:ascii="Times New Roman" w:cs="Times New Roman" w:eastAsia="Calibri" w:hAnsi="Times New Roman"/>
          <w:color w:val="000000"/>
          <w:sz w:val="20"/>
          <w:szCs w:val="20"/>
          <w:lang w:val="en-GB" w:eastAsia="zh-CN"/>
        </w:rPr>
      </w:pPr>
      <w:r>
        <w:rPr>
          <w:rFonts w:ascii="Times New Roman" w:cs="Times New Roman" w:eastAsia="Calibri" w:hAnsi="Times New Roman"/>
          <w:color w:val="000000"/>
          <w:sz w:val="20"/>
          <w:szCs w:val="20"/>
          <w:lang w:val="en-GB" w:eastAsia="zh-CN"/>
        </w:rPr>
        <w:t xml:space="preserve">Patients diagnosed with HCC, regardless of size or number of nodules, are first treated with </w:t>
      </w:r>
      <w:r>
        <w:rPr>
          <w:rFonts w:ascii="Times New Roman" w:cs="Times New Roman" w:eastAsia="Calibri" w:hAnsi="Times New Roman"/>
          <w:color w:val="000000"/>
          <w:sz w:val="20"/>
          <w:szCs w:val="20"/>
          <w:lang w:val="en-GB" w:eastAsia="zh-CN"/>
        </w:rPr>
        <w:t>transarterial</w:t>
      </w:r>
      <w:r>
        <w:rPr>
          <w:rFonts w:ascii="Times New Roman" w:cs="Times New Roman" w:eastAsia="Calibri" w:hAnsi="Times New Roman"/>
          <w:color w:val="000000"/>
          <w:sz w:val="20"/>
          <w:szCs w:val="20"/>
          <w:lang w:val="en-GB" w:eastAsia="zh-CN"/>
        </w:rPr>
        <w:t xml:space="preserve"> chemoembolization (TACE) according to the Barcelona Clinic Liver Cancer staging system (3).</w:t>
      </w:r>
    </w:p>
    <w:p>
      <w:pPr>
        <w:pStyle w:val="style0"/>
        <w:spacing w:before="240" w:after="0" w:lineRule="auto" w:line="240"/>
        <w:jc w:val="lowKashida"/>
        <w:rPr>
          <w:rFonts w:ascii="Times New Roman" w:cs="Times New Roman" w:eastAsia="Calibri" w:hAnsi="Times New Roman"/>
          <w:color w:val="000000"/>
          <w:sz w:val="20"/>
          <w:szCs w:val="20"/>
          <w:lang w:val="en-GB" w:eastAsia="zh-CN"/>
        </w:rPr>
      </w:pPr>
      <w:r>
        <w:rPr>
          <w:rFonts w:ascii="Times New Roman" w:cs="Times New Roman" w:eastAsia="Calibri" w:hAnsi="Times New Roman"/>
          <w:color w:val="000000"/>
          <w:sz w:val="20"/>
          <w:szCs w:val="20"/>
          <w:lang w:val="en-GB" w:eastAsia="zh-CN"/>
        </w:rPr>
        <w:t>Two methods exist for transdermal acupuncture catheterisation: drug-eluting bead-assisted TACE (DEB-TACE) and conventional TACE (</w:t>
      </w:r>
      <w:r>
        <w:rPr>
          <w:rFonts w:ascii="Times New Roman" w:cs="Times New Roman" w:eastAsia="Calibri" w:hAnsi="Times New Roman"/>
          <w:color w:val="000000"/>
          <w:sz w:val="20"/>
          <w:szCs w:val="20"/>
          <w:lang w:val="en-GB" w:eastAsia="zh-CN"/>
        </w:rPr>
        <w:t>cTACE</w:t>
      </w:r>
      <w:r>
        <w:rPr>
          <w:rFonts w:ascii="Times New Roman" w:cs="Times New Roman" w:eastAsia="Calibri" w:hAnsi="Times New Roman"/>
          <w:color w:val="000000"/>
          <w:sz w:val="20"/>
          <w:szCs w:val="20"/>
          <w:lang w:val="en-GB" w:eastAsia="zh-CN"/>
        </w:rPr>
        <w:t xml:space="preserve">). Lipiodol is an oily radio-opaque substance that serves as both a chemotherapeutic carrier and an embolic material in </w:t>
      </w:r>
      <w:r>
        <w:rPr>
          <w:rFonts w:ascii="Times New Roman" w:cs="Times New Roman" w:eastAsia="Calibri" w:hAnsi="Times New Roman"/>
          <w:color w:val="000000"/>
          <w:sz w:val="20"/>
          <w:szCs w:val="20"/>
          <w:lang w:val="en-GB" w:eastAsia="zh-CN"/>
        </w:rPr>
        <w:t>cTACE</w:t>
      </w:r>
      <w:r>
        <w:rPr>
          <w:rFonts w:ascii="Times New Roman" w:cs="Times New Roman" w:eastAsia="Calibri" w:hAnsi="Times New Roman"/>
          <w:color w:val="000000"/>
          <w:sz w:val="20"/>
          <w:szCs w:val="20"/>
          <w:lang w:val="en-GB" w:eastAsia="zh-CN"/>
        </w:rPr>
        <w:t xml:space="preserve">. The procedure begins with </w:t>
      </w:r>
      <w:r>
        <w:rPr>
          <w:rFonts w:ascii="Times New Roman" w:cs="Times New Roman" w:eastAsia="Calibri" w:hAnsi="Times New Roman"/>
          <w:color w:val="000000"/>
          <w:sz w:val="20"/>
          <w:szCs w:val="20"/>
          <w:lang w:val="en-GB" w:eastAsia="zh-CN"/>
        </w:rPr>
        <w:t xml:space="preserve">the administration of a cytotoxic drug such doxorubicin, </w:t>
      </w:r>
      <w:r>
        <w:rPr>
          <w:rFonts w:ascii="Times New Roman" w:cs="Times New Roman" w:eastAsia="Calibri" w:hAnsi="Times New Roman"/>
          <w:color w:val="000000"/>
          <w:sz w:val="20"/>
          <w:szCs w:val="20"/>
          <w:lang w:val="en-GB" w:eastAsia="zh-CN"/>
        </w:rPr>
        <w:t>epirubicin</w:t>
      </w:r>
      <w:r>
        <w:rPr>
          <w:rFonts w:ascii="Times New Roman" w:cs="Times New Roman" w:eastAsia="Calibri" w:hAnsi="Times New Roman"/>
          <w:color w:val="000000"/>
          <w:sz w:val="20"/>
          <w:szCs w:val="20"/>
          <w:lang w:val="en-GB" w:eastAsia="zh-CN"/>
        </w:rPr>
        <w:t>, mitomycin, or cisplatin. Collage, degradable starch microspheres (DSM), and gelatine sponge are among the other embolic agents that are often used. DEB-TACE makes use of chemotherapeutic medicines packaged with non-resorbable embolic microspheres, which may release the agent continuously (4).</w:t>
      </w:r>
    </w:p>
    <w:p>
      <w:pPr>
        <w:pStyle w:val="style0"/>
        <w:spacing w:before="240" w:after="0" w:lineRule="auto" w:line="240"/>
        <w:jc w:val="lowKashida"/>
        <w:rPr>
          <w:rFonts w:ascii="Times New Roman" w:cs="Times New Roman" w:eastAsia="Calibri" w:hAnsi="Times New Roman"/>
          <w:color w:val="000000"/>
          <w:sz w:val="20"/>
          <w:szCs w:val="20"/>
          <w:lang w:val="en-GB" w:eastAsia="zh-CN"/>
        </w:rPr>
      </w:pPr>
      <w:r>
        <w:rPr>
          <w:rFonts w:ascii="Times New Roman" w:cs="Times New Roman" w:eastAsia="Calibri" w:hAnsi="Times New Roman"/>
          <w:color w:val="000000"/>
          <w:sz w:val="20"/>
          <w:szCs w:val="20"/>
          <w:lang w:val="en-GB" w:eastAsia="zh-CN"/>
        </w:rPr>
        <w:t>Patients' tumour load, liver function, and overall performance status are all factors in determining the best course of therapy for hepatocellular carcinoma (HCC) (5).</w:t>
      </w:r>
    </w:p>
    <w:p>
      <w:pPr>
        <w:pStyle w:val="style0"/>
        <w:spacing w:before="240" w:after="0" w:lineRule="auto" w:line="240"/>
        <w:jc w:val="lowKashida"/>
        <w:rPr>
          <w:rFonts w:ascii="Times New Roman" w:cs="Times New Roman" w:eastAsia="Calibri" w:hAnsi="Times New Roman"/>
          <w:color w:val="000000"/>
          <w:sz w:val="20"/>
          <w:szCs w:val="20"/>
          <w:lang w:val="en-GB" w:eastAsia="zh-CN"/>
        </w:rPr>
      </w:pPr>
      <w:r>
        <w:rPr>
          <w:rFonts w:ascii="Times New Roman" w:cs="Times New Roman" w:eastAsia="Calibri" w:hAnsi="Times New Roman"/>
          <w:color w:val="000000"/>
          <w:sz w:val="20"/>
          <w:szCs w:val="20"/>
          <w:lang w:val="en-GB" w:eastAsia="zh-CN"/>
        </w:rPr>
        <w:t>The survival advantage of (TACE) has just been shown, and it is now conventional therapy for certain patients (3).</w:t>
      </w:r>
    </w:p>
    <w:p>
      <w:pPr>
        <w:pStyle w:val="style0"/>
        <w:spacing w:before="240" w:after="0" w:lineRule="auto" w:line="240"/>
        <w:jc w:val="lowKashida"/>
        <w:rPr>
          <w:rFonts w:ascii="Times New Roman" w:cs="Times New Roman" w:eastAsia="Calibri" w:hAnsi="Times New Roman"/>
          <w:color w:val="000000"/>
          <w:sz w:val="20"/>
          <w:szCs w:val="20"/>
          <w:lang w:val="en-GB" w:eastAsia="zh-CN"/>
        </w:rPr>
      </w:pPr>
      <w:r>
        <w:rPr>
          <w:rFonts w:ascii="Times New Roman" w:cs="Times New Roman" w:eastAsia="Calibri" w:hAnsi="Times New Roman"/>
          <w:color w:val="000000"/>
          <w:sz w:val="20"/>
          <w:szCs w:val="20"/>
          <w:lang w:val="en-GB" w:eastAsia="zh-CN"/>
        </w:rPr>
        <w:t xml:space="preserve">Patients with (HCC) Child Pugh Grade A were the focus of this review paper, which aimed to address the tumour response to </w:t>
      </w:r>
      <w:r>
        <w:rPr>
          <w:rFonts w:ascii="Times New Roman" w:cs="Times New Roman" w:eastAsia="Calibri" w:hAnsi="Times New Roman"/>
          <w:color w:val="000000"/>
          <w:sz w:val="20"/>
          <w:szCs w:val="20"/>
          <w:lang w:val="en-GB" w:eastAsia="zh-CN"/>
        </w:rPr>
        <w:t>transarterial</w:t>
      </w:r>
      <w:r>
        <w:rPr>
          <w:rFonts w:ascii="Times New Roman" w:cs="Times New Roman" w:eastAsia="Calibri" w:hAnsi="Times New Roman"/>
          <w:color w:val="000000"/>
          <w:sz w:val="20"/>
          <w:szCs w:val="20"/>
          <w:lang w:val="en-GB" w:eastAsia="zh-CN"/>
        </w:rPr>
        <w:t xml:space="preserve"> chemoembolization (TACE).</w:t>
      </w:r>
    </w:p>
    <w:p>
      <w:pPr>
        <w:pStyle w:val="style0"/>
        <w:spacing w:before="240" w:after="0" w:lineRule="auto" w:line="240"/>
        <w:jc w:val="lowKashida"/>
        <w:rPr>
          <w:rFonts w:ascii="Times New Roman" w:cs="Times New Roman" w:eastAsia="Calibri" w:hAnsi="Times New Roman"/>
          <w:b/>
          <w:bCs/>
          <w:color w:val="000000"/>
          <w:sz w:val="20"/>
          <w:szCs w:val="20"/>
          <w:lang w:val="en-GB" w:eastAsia="zh-CN"/>
        </w:rPr>
      </w:pPr>
      <w:r>
        <w:rPr>
          <w:rFonts w:ascii="Times New Roman" w:cs="Times New Roman" w:eastAsia="Calibri" w:hAnsi="Times New Roman"/>
          <w:b/>
          <w:bCs/>
          <w:color w:val="000000"/>
          <w:sz w:val="20"/>
          <w:szCs w:val="20"/>
          <w:lang w:val="en-GB" w:eastAsia="zh-CN"/>
        </w:rPr>
        <w:t>The Liver: A General Overview</w:t>
      </w:r>
    </w:p>
    <w:p>
      <w:pPr>
        <w:pStyle w:val="style0"/>
        <w:spacing w:before="240" w:after="0" w:lineRule="auto" w:line="240"/>
        <w:jc w:val="lowKashida"/>
        <w:rPr>
          <w:rFonts w:ascii="Times New Roman" w:cs="Times New Roman" w:eastAsia="Calibri" w:hAnsi="Times New Roman"/>
          <w:color w:val="000000"/>
          <w:sz w:val="20"/>
          <w:szCs w:val="20"/>
          <w:lang w:val="en-GB" w:eastAsia="zh-CN"/>
        </w:rPr>
      </w:pPr>
      <w:r>
        <w:rPr>
          <w:rFonts w:ascii="Times New Roman" w:cs="Times New Roman" w:eastAsia="Calibri" w:hAnsi="Times New Roman"/>
          <w:color w:val="000000"/>
          <w:sz w:val="20"/>
          <w:szCs w:val="20"/>
          <w:lang w:val="en-GB" w:eastAsia="zh-CN"/>
        </w:rPr>
        <w:t xml:space="preserve">Located in the belly's upper right quadrant, the liver is a massive organ. Detoxification, protein synthesis, bile generation, and nutrient storage are just a few of the important roles played by this multi-organ auxiliary organ of the digestive system. At almost 1.5 kilogrammes, it is the heaviest gland found in a human body. It aids in the upkeep of fundamental homeostatic systems and </w:t>
      </w:r>
      <w:r>
        <w:rPr>
          <w:rFonts w:ascii="Times New Roman" w:cs="Times New Roman" w:eastAsia="Calibri" w:hAnsi="Times New Roman"/>
          <w:color w:val="000000"/>
          <w:sz w:val="20"/>
          <w:szCs w:val="20"/>
          <w:lang w:val="en-GB" w:eastAsia="zh-CN"/>
        </w:rPr>
        <w:t>functions in tandem with several other organs (6).</w:t>
      </w:r>
    </w:p>
    <w:p>
      <w:pPr>
        <w:pStyle w:val="style0"/>
        <w:spacing w:before="240" w:after="0" w:lineRule="auto" w:line="240"/>
        <w:jc w:val="lowKashida"/>
        <w:rPr>
          <w:rFonts w:ascii="Times New Roman" w:cs="Times New Roman" w:eastAsia="Calibri" w:hAnsi="Times New Roman"/>
          <w:color w:val="000000"/>
          <w:sz w:val="20"/>
          <w:szCs w:val="20"/>
          <w:lang w:val="en-GB" w:eastAsia="zh-CN"/>
        </w:rPr>
      </w:pPr>
      <w:r>
        <w:rPr>
          <w:rFonts w:ascii="Times New Roman" w:cs="Times New Roman" w:eastAsia="Calibri" w:hAnsi="Times New Roman"/>
          <w:color w:val="000000"/>
          <w:sz w:val="20"/>
          <w:szCs w:val="20"/>
          <w:lang w:val="en-GB" w:eastAsia="zh-CN"/>
        </w:rPr>
        <w:t>Except for the exposed region where the liver rubs against the diaphragm, the visceral peritoneum entirely encases the liver (6).</w:t>
      </w:r>
    </w:p>
    <w:p>
      <w:pPr>
        <w:pStyle w:val="style0"/>
        <w:spacing w:before="240" w:after="0" w:lineRule="auto" w:line="240"/>
        <w:jc w:val="lowKashida"/>
        <w:rPr>
          <w:rFonts w:ascii="Times New Roman" w:cs="Times New Roman" w:eastAsia="Calibri" w:hAnsi="Times New Roman"/>
          <w:color w:val="000000"/>
          <w:sz w:val="20"/>
          <w:szCs w:val="20"/>
          <w:lang w:val="en-GB" w:eastAsia="zh-CN"/>
        </w:rPr>
      </w:pPr>
      <w:r>
        <w:rPr>
          <w:rFonts w:ascii="Times New Roman" w:cs="Times New Roman" w:eastAsia="Calibri" w:hAnsi="Times New Roman"/>
          <w:color w:val="000000"/>
          <w:sz w:val="20"/>
          <w:szCs w:val="20"/>
          <w:lang w:val="en-GB" w:eastAsia="zh-CN"/>
        </w:rPr>
        <w:t>The liver's blood supply determines the division of its four morphological lobes into even smaller parts. The left lobe is smaller and more flattened than the right lobe, which is the biggest of the four. The inferior vena cava and gallbladder fossae divide these two lobes. Between the inferior vena cava and the ligamentum venosum fissure is where you'll find the caudate lobe, and between the gallbladder and the ligamentum teres hepatis fissure is where you'll find the quadrate lobe (7).</w:t>
      </w:r>
    </w:p>
    <w:p>
      <w:pPr>
        <w:pStyle w:val="style0"/>
        <w:spacing w:before="240" w:after="0" w:lineRule="auto" w:line="240"/>
        <w:jc w:val="lowKashida"/>
        <w:rPr>
          <w:rFonts w:ascii="Times New Roman" w:cs="Times New Roman" w:eastAsia="Calibri" w:hAnsi="Times New Roman"/>
          <w:color w:val="000000"/>
          <w:sz w:val="20"/>
          <w:szCs w:val="20"/>
          <w:lang w:val="en-GB" w:eastAsia="zh-CN"/>
        </w:rPr>
      </w:pPr>
      <w:r>
        <w:rPr>
          <w:rFonts w:ascii="Times New Roman" w:cs="Times New Roman" w:eastAsia="Calibri" w:hAnsi="Times New Roman"/>
          <w:color w:val="000000"/>
          <w:sz w:val="20"/>
          <w:szCs w:val="20"/>
          <w:lang w:val="en-GB" w:eastAsia="zh-CN"/>
        </w:rPr>
        <w:t>The liver's two primary surfaces are the visceral surface and the diaphragmatic surface. Visceral peritoneum covers the latter, with the exception of the porta hepatis and the gallbladder's bed. Several anatomical structures are directly associated to this surface, including the duodenum, gallbladder, hepatic flexure of the colon, transverse colon, right kidney, and suprarenal gland. With the exception of the exposed region, the visceral peritoneum covers the diaphragmatic surface, which rests against the inferior side of the diaphragm (7).</w:t>
      </w:r>
    </w:p>
    <w:p>
      <w:pPr>
        <w:pStyle w:val="style0"/>
        <w:spacing w:before="240" w:after="0" w:lineRule="auto" w:line="240"/>
        <w:jc w:val="lowKashida"/>
        <w:rPr>
          <w:rFonts w:ascii="Times New Roman" w:cs="Times New Roman" w:eastAsia="Calibri" w:hAnsi="Times New Roman"/>
          <w:b/>
          <w:bCs/>
          <w:color w:val="000000"/>
          <w:sz w:val="20"/>
          <w:szCs w:val="20"/>
          <w:lang w:val="en-GB" w:eastAsia="zh-CN"/>
        </w:rPr>
      </w:pPr>
      <w:r>
        <w:rPr>
          <w:rFonts w:ascii="Times New Roman" w:cs="Times New Roman" w:eastAsia="Calibri" w:hAnsi="Times New Roman"/>
          <w:b/>
          <w:bCs/>
          <w:color w:val="000000"/>
          <w:sz w:val="20"/>
          <w:szCs w:val="20"/>
          <w:lang w:val="en-GB" w:eastAsia="zh-CN"/>
        </w:rPr>
        <w:t>The Liver in a Normal CT Scenario:</w:t>
      </w:r>
    </w:p>
    <w:p>
      <w:pPr>
        <w:pStyle w:val="style0"/>
        <w:spacing w:before="240" w:after="0" w:lineRule="auto" w:line="240"/>
        <w:jc w:val="lowKashida"/>
        <w:rPr>
          <w:rFonts w:ascii="Times New Roman" w:cs="Times New Roman" w:eastAsia="Calibri" w:hAnsi="Times New Roman"/>
          <w:color w:val="000000"/>
          <w:sz w:val="20"/>
          <w:szCs w:val="20"/>
          <w:lang w:val="en-GB" w:eastAsia="zh-CN"/>
        </w:rPr>
      </w:pPr>
      <w:r>
        <w:rPr>
          <w:rFonts w:ascii="Times New Roman" w:cs="Times New Roman" w:eastAsia="Calibri" w:hAnsi="Times New Roman"/>
          <w:color w:val="000000"/>
          <w:sz w:val="20"/>
          <w:szCs w:val="20"/>
          <w:lang w:val="en-GB" w:eastAsia="zh-CN"/>
        </w:rPr>
        <w:t>Computed tomography (CT) scans of the liver provide high-quality anatomical images in axial sections; however, these images may be reshaped to produce sagittal or coronal views of the organ. All of the lobes and fissures, in addition to the biliary channels and intrahepatic vasculatures, are clearly visible (8).</w:t>
      </w:r>
    </w:p>
    <w:p>
      <w:pPr>
        <w:pStyle w:val="style0"/>
        <w:spacing w:before="240" w:after="0" w:lineRule="auto" w:line="240"/>
        <w:jc w:val="lowKashida"/>
        <w:rPr>
          <w:rFonts w:ascii="Times New Roman" w:cs="Times New Roman" w:eastAsia="Calibri" w:hAnsi="Times New Roman"/>
          <w:color w:val="000000"/>
          <w:sz w:val="20"/>
          <w:szCs w:val="20"/>
          <w:lang w:val="en-GB" w:eastAsia="zh-CN"/>
        </w:rPr>
      </w:pPr>
      <w:r>
        <w:rPr>
          <w:rFonts w:ascii="Times New Roman" w:cs="Times New Roman" w:eastAsia="Calibri" w:hAnsi="Times New Roman"/>
          <w:color w:val="000000"/>
          <w:sz w:val="20"/>
          <w:szCs w:val="20"/>
          <w:lang w:val="en-GB" w:eastAsia="zh-CN"/>
        </w:rPr>
        <w:t xml:space="preserve">There are four scissures that split the liver into eight sections. The transverse </w:t>
      </w:r>
      <w:r>
        <w:rPr>
          <w:rFonts w:ascii="Times New Roman" w:cs="Times New Roman" w:eastAsia="Calibri" w:hAnsi="Times New Roman"/>
          <w:color w:val="000000"/>
          <w:sz w:val="20"/>
          <w:szCs w:val="20"/>
          <w:lang w:val="en-GB" w:eastAsia="zh-CN"/>
        </w:rPr>
        <w:t>scissura</w:t>
      </w:r>
      <w:r>
        <w:rPr>
          <w:rFonts w:ascii="Times New Roman" w:cs="Times New Roman" w:eastAsia="Calibri" w:hAnsi="Times New Roman"/>
          <w:color w:val="000000"/>
          <w:sz w:val="20"/>
          <w:szCs w:val="20"/>
          <w:lang w:val="en-GB" w:eastAsia="zh-CN"/>
        </w:rPr>
        <w:t xml:space="preserve"> is located at the level of the right and left major portal trunk in the axial plane, whereas the longitudinal </w:t>
      </w:r>
      <w:r>
        <w:rPr>
          <w:rFonts w:ascii="Times New Roman" w:cs="Times New Roman" w:eastAsia="Calibri" w:hAnsi="Times New Roman"/>
          <w:color w:val="000000"/>
          <w:sz w:val="20"/>
          <w:szCs w:val="20"/>
          <w:lang w:val="en-GB" w:eastAsia="zh-CN"/>
        </w:rPr>
        <w:t>scissurae</w:t>
      </w:r>
      <w:r>
        <w:rPr>
          <w:rFonts w:ascii="Times New Roman" w:cs="Times New Roman" w:eastAsia="Calibri" w:hAnsi="Times New Roman"/>
          <w:color w:val="000000"/>
          <w:sz w:val="20"/>
          <w:szCs w:val="20"/>
          <w:lang w:val="en-GB" w:eastAsia="zh-CN"/>
        </w:rPr>
        <w:t xml:space="preserve"> are three in number and aligned with the three hepatic veins. Using axial CT imaging, lines that go straight through the three hepatic veins from the inferior venae cava match up with the longitudinal </w:t>
      </w:r>
      <w:r>
        <w:rPr>
          <w:rFonts w:ascii="Times New Roman" w:cs="Times New Roman" w:eastAsia="Calibri" w:hAnsi="Times New Roman"/>
          <w:color w:val="000000"/>
          <w:sz w:val="20"/>
          <w:szCs w:val="20"/>
          <w:lang w:val="en-GB" w:eastAsia="zh-CN"/>
        </w:rPr>
        <w:t>scissurae</w:t>
      </w:r>
      <w:r>
        <w:rPr>
          <w:rFonts w:ascii="Times New Roman" w:cs="Times New Roman" w:eastAsia="Calibri" w:hAnsi="Times New Roman"/>
          <w:color w:val="000000"/>
          <w:sz w:val="20"/>
          <w:szCs w:val="20"/>
          <w:lang w:val="en-GB" w:eastAsia="zh-CN"/>
        </w:rPr>
        <w:t xml:space="preserve">, which are the segment borders (8). </w:t>
      </w:r>
    </w:p>
    <w:p>
      <w:pPr>
        <w:pStyle w:val="style0"/>
        <w:spacing w:before="240" w:after="0" w:lineRule="auto" w:line="240"/>
        <w:jc w:val="lowKashida"/>
        <w:rPr>
          <w:rFonts w:ascii="Times New Roman" w:cs="Times New Roman" w:eastAsia="Calibri" w:hAnsi="Times New Roman"/>
          <w:color w:val="000000"/>
          <w:sz w:val="20"/>
          <w:szCs w:val="20"/>
          <w:lang w:val="en-GB" w:eastAsia="zh-CN"/>
        </w:rPr>
      </w:pPr>
      <w:r>
        <w:rPr>
          <w:rFonts w:ascii="Times New Roman" w:cs="Times New Roman" w:eastAsia="Calibri" w:hAnsi="Times New Roman"/>
          <w:color w:val="000000"/>
          <w:sz w:val="20"/>
          <w:szCs w:val="20"/>
          <w:lang w:val="en-GB" w:eastAsia="zh-CN"/>
        </w:rPr>
        <w:t xml:space="preserve">The plane of the middle hepatic vein divides the liver into two lobes, one on the right side and one on the left. This line follows Cantlie's </w:t>
      </w:r>
      <w:r>
        <w:rPr>
          <w:rFonts w:ascii="Times New Roman" w:cs="Times New Roman" w:eastAsia="Calibri" w:hAnsi="Times New Roman"/>
          <w:color w:val="000000"/>
          <w:sz w:val="20"/>
          <w:szCs w:val="20"/>
          <w:lang w:val="en-GB" w:eastAsia="zh-CN"/>
        </w:rPr>
        <w:t>axis, which begins at the inferior vena cava (IVC) and continues to the gallbladder fossa on the left. Along the course of the right hepatic vein, the right lobe is segmented into two halves, one located anteriorly and the other posteriorly. Obliquely linking the left hepatic vein and the falciform ligament, the left lobe is separated into a medial and lateral sectors or parts. As seen in Figure 4, the liver is bifurcated at the level of the major portal vein (MPV), dividing it into upper and lower portions. the ninth</w:t>
      </w:r>
    </w:p>
    <w:p>
      <w:pPr>
        <w:pStyle w:val="style0"/>
        <w:spacing w:before="240" w:after="0" w:lineRule="auto" w:line="240"/>
        <w:jc w:val="lowKashida"/>
        <w:rPr>
          <w:rFonts w:ascii="Times New Roman" w:cs="Times New Roman" w:eastAsia="Calibri" w:hAnsi="Times New Roman"/>
          <w:color w:val="000000"/>
          <w:sz w:val="20"/>
          <w:szCs w:val="20"/>
          <w:lang w:val="en-GB" w:eastAsia="zh-CN"/>
        </w:rPr>
      </w:pPr>
      <w:r>
        <w:rPr>
          <w:rFonts w:ascii="Times New Roman" w:cs="Times New Roman" w:eastAsia="Calibri" w:hAnsi="Times New Roman"/>
          <w:color w:val="000000"/>
          <w:sz w:val="20"/>
          <w:szCs w:val="20"/>
          <w:lang w:val="en-GB" w:eastAsia="zh-CN"/>
        </w:rPr>
        <w:t>Prior to any interventional procedures or surgical procedures, it is crucial to assess the liver's vascular and biliary architecture for any anatomical variations. When measuring functional liver reserve, choosing a therapy, and predicting prognosis, hepatic volume evaluation might be useful. the ninth</w:t>
      </w:r>
    </w:p>
    <w:p>
      <w:pPr>
        <w:pStyle w:val="style0"/>
        <w:spacing w:before="240" w:after="0" w:lineRule="auto" w:line="240"/>
        <w:jc w:val="lowKashida"/>
        <w:rPr>
          <w:rFonts w:ascii="Times New Roman" w:cs="Times New Roman" w:eastAsia="Calibri" w:hAnsi="Times New Roman"/>
          <w:color w:val="000000"/>
          <w:sz w:val="20"/>
          <w:szCs w:val="20"/>
          <w:lang w:val="en-GB" w:eastAsia="zh-CN"/>
        </w:rPr>
      </w:pPr>
      <w:r>
        <w:rPr>
          <w:rFonts w:ascii="Times New Roman" w:cs="Times New Roman" w:eastAsia="Calibri" w:hAnsi="Times New Roman"/>
          <w:color w:val="000000"/>
          <w:sz w:val="20"/>
          <w:szCs w:val="20"/>
          <w:lang w:val="en-GB" w:eastAsia="zh-CN"/>
        </w:rPr>
        <w:t>Segmentation is based on the fact that each segment has its own biliary drainage and lymphatic drainage in addition to its own dual vascular input. One way to think of each segment is as a wedge, with the tip pointing towards the hepatic hilum. This is where the portal triad, which consists of one segmental branch, enters. A hepatic vein drains two neighbouring segments, and each segment contains several draining hepatic veins, resulting in venous outflow along the boundary of each segment. the ninth</w:t>
      </w:r>
    </w:p>
    <w:p>
      <w:pPr>
        <w:pStyle w:val="style0"/>
        <w:spacing w:before="240" w:after="0" w:lineRule="auto" w:line="240"/>
        <w:jc w:val="lowKashida"/>
        <w:rPr>
          <w:rFonts w:ascii="Times New Roman" w:cs="Times New Roman" w:eastAsia="Calibri" w:hAnsi="Times New Roman"/>
          <w:b/>
          <w:bCs/>
          <w:color w:val="000000"/>
          <w:sz w:val="20"/>
          <w:szCs w:val="20"/>
          <w:lang w:val="en-GB" w:eastAsia="zh-CN"/>
        </w:rPr>
      </w:pPr>
      <w:r>
        <w:rPr>
          <w:rFonts w:ascii="Times New Roman" w:cs="Times New Roman" w:eastAsia="Calibri" w:hAnsi="Times New Roman"/>
          <w:b/>
          <w:bCs/>
          <w:color w:val="000000"/>
          <w:sz w:val="20"/>
          <w:szCs w:val="20"/>
          <w:lang w:val="en-GB" w:eastAsia="zh-CN"/>
        </w:rPr>
        <w:t>Gastrointestinal cancer</w:t>
      </w:r>
    </w:p>
    <w:p>
      <w:pPr>
        <w:pStyle w:val="style0"/>
        <w:spacing w:before="240" w:after="0" w:lineRule="auto" w:line="240"/>
        <w:jc w:val="lowKashida"/>
        <w:rPr>
          <w:rFonts w:ascii="Times New Roman" w:cs="Times New Roman" w:eastAsia="Calibri" w:hAnsi="Times New Roman"/>
          <w:color w:val="000000"/>
          <w:sz w:val="20"/>
          <w:szCs w:val="20"/>
          <w:lang w:val="en-GB" w:eastAsia="zh-CN"/>
        </w:rPr>
      </w:pPr>
      <w:r>
        <w:rPr>
          <w:rFonts w:ascii="Times New Roman" w:cs="Times New Roman" w:eastAsia="Calibri" w:hAnsi="Times New Roman"/>
          <w:color w:val="000000"/>
          <w:sz w:val="20"/>
          <w:szCs w:val="20"/>
          <w:lang w:val="en-GB" w:eastAsia="zh-CN"/>
        </w:rPr>
        <w:t>The vast majority of primary liver tumours, over 90% to be exact, are hepatocellular carcinomas (HCCs). Roughly 85 percent of cirrhotic individuals develop hepatocellular cancer. As of recently, HCC ranked as the world's sixth most prevalent cancer killer. It kills more males than any other cancer, second only to lung cancer (10).</w:t>
      </w:r>
    </w:p>
    <w:p>
      <w:pPr>
        <w:pStyle w:val="style0"/>
        <w:spacing w:before="240" w:after="0" w:lineRule="auto" w:line="240"/>
        <w:jc w:val="lowKashida"/>
        <w:rPr>
          <w:rFonts w:ascii="Times New Roman" w:cs="Times New Roman" w:eastAsia="Calibri" w:hAnsi="Times New Roman"/>
          <w:color w:val="000000"/>
          <w:sz w:val="20"/>
          <w:szCs w:val="20"/>
          <w:lang w:val="en-GB" w:eastAsia="zh-CN"/>
        </w:rPr>
      </w:pPr>
      <w:r>
        <w:rPr>
          <w:rFonts w:ascii="Times New Roman" w:cs="Times New Roman" w:eastAsia="Calibri" w:hAnsi="Times New Roman"/>
          <w:color w:val="000000"/>
          <w:sz w:val="20"/>
          <w:szCs w:val="20"/>
          <w:lang w:val="en-GB" w:eastAsia="zh-CN"/>
        </w:rPr>
        <w:t>Second only to pancreatic cancer in terms of five-year survival rate, HCC is at 18%. (10) that is prevalent in patients with long-term liver conditions, including cirrhosis brought on by hepatitis B or C antibodies.</w:t>
      </w:r>
    </w:p>
    <w:p>
      <w:pPr>
        <w:pStyle w:val="style0"/>
        <w:spacing w:before="240" w:after="0" w:lineRule="auto" w:line="240"/>
        <w:jc w:val="lowKashida"/>
        <w:rPr>
          <w:rFonts w:ascii="Times New Roman" w:cs="Times New Roman" w:eastAsia="Calibri" w:hAnsi="Times New Roman"/>
          <w:b/>
          <w:bCs/>
          <w:color w:val="000000"/>
          <w:sz w:val="20"/>
          <w:szCs w:val="20"/>
          <w:lang w:val="en-GB" w:eastAsia="zh-CN"/>
        </w:rPr>
      </w:pPr>
      <w:r>
        <w:rPr>
          <w:rFonts w:ascii="Times New Roman" w:cs="Times New Roman" w:eastAsia="Calibri" w:hAnsi="Times New Roman"/>
          <w:b/>
          <w:bCs/>
          <w:color w:val="000000"/>
          <w:sz w:val="20"/>
          <w:szCs w:val="20"/>
          <w:lang w:val="en-GB" w:eastAsia="zh-CN"/>
        </w:rPr>
        <w:t>Things that might put you at risk:</w:t>
      </w:r>
    </w:p>
    <w:p>
      <w:pPr>
        <w:pStyle w:val="style0"/>
        <w:spacing w:before="240" w:after="0" w:lineRule="auto" w:line="240"/>
        <w:jc w:val="lowKashida"/>
        <w:rPr>
          <w:rFonts w:ascii="Times New Roman" w:cs="Times New Roman" w:eastAsia="Calibri" w:hAnsi="Times New Roman"/>
          <w:color w:val="000000"/>
          <w:sz w:val="20"/>
          <w:szCs w:val="20"/>
          <w:lang w:val="en-GB" w:eastAsia="zh-CN"/>
        </w:rPr>
      </w:pPr>
      <w:r>
        <w:rPr>
          <w:rFonts w:ascii="Times New Roman" w:cs="Times New Roman" w:eastAsia="Calibri" w:hAnsi="Times New Roman"/>
          <w:color w:val="000000"/>
          <w:sz w:val="20"/>
          <w:szCs w:val="20"/>
          <w:lang w:val="en-GB" w:eastAsia="zh-CN"/>
        </w:rPr>
        <w:t xml:space="preserve">Anything that raises the probability of cancer in a given individual is considered a risk factor. While several variables might increase a person's chance of developing cancer, few actually cause the disease on their own. Cancer may develop in some individuals despite having many risk factors, but it can also occur </w:t>
      </w:r>
      <w:r>
        <w:rPr>
          <w:rFonts w:ascii="Times New Roman" w:cs="Times New Roman" w:eastAsia="Calibri" w:hAnsi="Times New Roman"/>
          <w:color w:val="000000"/>
          <w:sz w:val="20"/>
          <w:szCs w:val="20"/>
          <w:lang w:val="en-GB" w:eastAsia="zh-CN"/>
        </w:rPr>
        <w:t xml:space="preserve">in others who have no recognised risk factors. In order to make better lifestyle and health care decisions, it may be helpful to be aware of the following risk factors for liver cancer and to discuss them with your doctor. 10. Cirrhosis and </w:t>
      </w:r>
      <w:r>
        <w:rPr>
          <w:rFonts w:ascii="Times New Roman" w:cs="Times New Roman" w:eastAsia="Calibri" w:hAnsi="Times New Roman"/>
          <w:color w:val="000000"/>
          <w:sz w:val="20"/>
          <w:szCs w:val="20"/>
          <w:lang w:val="en-GB" w:eastAsia="zh-CN"/>
        </w:rPr>
        <w:t>nonalcoholic</w:t>
      </w:r>
      <w:r>
        <w:rPr>
          <w:rFonts w:ascii="Times New Roman" w:cs="Times New Roman" w:eastAsia="Calibri" w:hAnsi="Times New Roman"/>
          <w:color w:val="000000"/>
          <w:sz w:val="20"/>
          <w:szCs w:val="20"/>
          <w:lang w:val="en-GB" w:eastAsia="zh-CN"/>
        </w:rPr>
        <w:t xml:space="preserve"> fatty liver disease (NAFLD) are the primary dangers.</w:t>
      </w:r>
    </w:p>
    <w:p>
      <w:pPr>
        <w:pStyle w:val="style0"/>
        <w:spacing w:before="240" w:after="0" w:lineRule="auto" w:line="240"/>
        <w:jc w:val="lowKashida"/>
        <w:rPr>
          <w:rFonts w:ascii="Times New Roman" w:cs="Times New Roman" w:eastAsia="Calibri" w:hAnsi="Times New Roman"/>
          <w:b/>
          <w:bCs/>
          <w:color w:val="000000"/>
          <w:sz w:val="20"/>
          <w:szCs w:val="20"/>
          <w:lang w:val="en-GB" w:eastAsia="zh-CN"/>
        </w:rPr>
      </w:pPr>
      <w:r>
        <w:rPr>
          <w:rFonts w:ascii="Times New Roman" w:cs="Times New Roman" w:eastAsia="Calibri" w:hAnsi="Times New Roman"/>
          <w:b/>
          <w:bCs/>
          <w:color w:val="000000"/>
          <w:sz w:val="20"/>
          <w:szCs w:val="20"/>
          <w:lang w:val="en-GB" w:eastAsia="zh-CN"/>
        </w:rPr>
        <w:t>The Histology of Hepatocellular carcinoma</w:t>
      </w:r>
    </w:p>
    <w:p>
      <w:pPr>
        <w:pStyle w:val="style0"/>
        <w:spacing w:before="240" w:after="0" w:lineRule="auto" w:line="240"/>
        <w:jc w:val="lowKashida"/>
        <w:rPr>
          <w:rFonts w:ascii="Times New Roman" w:cs="Times New Roman" w:eastAsia="Calibri" w:hAnsi="Times New Roman"/>
          <w:color w:val="000000"/>
          <w:sz w:val="20"/>
          <w:szCs w:val="20"/>
          <w:lang w:val="en-GB" w:eastAsia="zh-CN"/>
        </w:rPr>
      </w:pPr>
      <w:r>
        <w:rPr>
          <w:rFonts w:ascii="Times New Roman" w:cs="Times New Roman" w:eastAsia="Calibri" w:hAnsi="Times New Roman"/>
          <w:color w:val="000000"/>
          <w:sz w:val="20"/>
          <w:szCs w:val="20"/>
          <w:lang w:val="en-GB" w:eastAsia="zh-CN"/>
        </w:rPr>
        <w:t>Regardless of the underlying aetiology, hepatocellular carcinomas are thought to originate from cycles of necrosis and regeneration. A second method by which infection with HBV and HCV predisposes to hepatocellular carcinoma is that their genomes include genetic information that may cause cells to accumulate mutations or alter growth regulation. (11)</w:t>
      </w:r>
    </w:p>
    <w:p>
      <w:pPr>
        <w:pStyle w:val="style0"/>
        <w:spacing w:before="240" w:after="0" w:lineRule="auto" w:line="240"/>
        <w:jc w:val="lowKashida"/>
        <w:rPr>
          <w:rFonts w:ascii="Times New Roman" w:cs="Times New Roman" w:eastAsia="Calibri" w:hAnsi="Times New Roman"/>
          <w:color w:val="000000"/>
          <w:sz w:val="20"/>
          <w:szCs w:val="20"/>
          <w:lang w:val="en-GB" w:eastAsia="zh-CN"/>
        </w:rPr>
      </w:pPr>
      <w:r>
        <w:rPr>
          <w:rFonts w:ascii="Times New Roman" w:cs="Times New Roman" w:eastAsia="Calibri" w:hAnsi="Times New Roman"/>
          <w:color w:val="000000"/>
          <w:sz w:val="20"/>
          <w:szCs w:val="20"/>
          <w:lang w:val="en-GB" w:eastAsia="zh-CN"/>
        </w:rPr>
        <w:t>There are distinct physical and phenotypic characteristics of HCC. Patient care for HCC is anticipated to be affected by our growing understanding of the disease and its pathophysiology (11)</w:t>
      </w:r>
    </w:p>
    <w:p>
      <w:pPr>
        <w:pStyle w:val="style0"/>
        <w:spacing w:before="240" w:after="0" w:lineRule="auto" w:line="240"/>
        <w:jc w:val="lowKashida"/>
        <w:rPr>
          <w:rFonts w:ascii="Times New Roman" w:cs="Times New Roman" w:eastAsia="Calibri" w:hAnsi="Times New Roman"/>
          <w:b/>
          <w:bCs/>
          <w:color w:val="000000"/>
          <w:sz w:val="20"/>
          <w:szCs w:val="20"/>
          <w:lang w:val="en-GB" w:eastAsia="zh-CN"/>
        </w:rPr>
      </w:pPr>
      <w:r>
        <w:rPr>
          <w:rFonts w:ascii="Times New Roman" w:cs="Times New Roman" w:eastAsia="Calibri" w:hAnsi="Times New Roman"/>
          <w:b/>
          <w:bCs/>
          <w:color w:val="000000"/>
          <w:sz w:val="20"/>
          <w:szCs w:val="20"/>
          <w:lang w:val="en-GB" w:eastAsia="zh-CN"/>
        </w:rPr>
        <w:t>Physical Characteristics:</w:t>
      </w:r>
    </w:p>
    <w:p>
      <w:pPr>
        <w:pStyle w:val="style0"/>
        <w:spacing w:before="240" w:after="0" w:lineRule="auto" w:line="240"/>
        <w:jc w:val="lowKashida"/>
        <w:rPr>
          <w:rFonts w:ascii="Times New Roman" w:cs="Times New Roman" w:eastAsia="Calibri" w:hAnsi="Times New Roman"/>
          <w:color w:val="000000"/>
          <w:sz w:val="20"/>
          <w:szCs w:val="20"/>
          <w:lang w:val="en-GB" w:eastAsia="zh-CN"/>
        </w:rPr>
      </w:pPr>
      <w:r>
        <w:rPr>
          <w:rFonts w:ascii="Times New Roman" w:cs="Times New Roman" w:eastAsia="Calibri" w:hAnsi="Times New Roman"/>
          <w:color w:val="000000"/>
          <w:sz w:val="20"/>
          <w:szCs w:val="20"/>
          <w:lang w:val="en-GB" w:eastAsia="zh-CN"/>
        </w:rPr>
        <w:t xml:space="preserve">There are different types of single HCC, including: vaguely nodular, expanding nodular, multinodular confluent, nodular with peri-nodular extension, infiltrative, and non-nodular with a circumference of less than 50% or more than 50%. These types of tumours are characterised by a lack of clear borders between the </w:t>
      </w:r>
      <w:r>
        <w:rPr>
          <w:rFonts w:ascii="Times New Roman" w:cs="Times New Roman" w:eastAsia="Calibri" w:hAnsi="Times New Roman"/>
          <w:color w:val="000000"/>
          <w:sz w:val="20"/>
          <w:szCs w:val="20"/>
          <w:lang w:val="en-GB" w:eastAsia="zh-CN"/>
        </w:rPr>
        <w:t>tumor's</w:t>
      </w:r>
      <w:r>
        <w:rPr>
          <w:rFonts w:ascii="Times New Roman" w:cs="Times New Roman" w:eastAsia="Calibri" w:hAnsi="Times New Roman"/>
          <w:color w:val="000000"/>
          <w:sz w:val="20"/>
          <w:szCs w:val="20"/>
          <w:lang w:val="en-GB" w:eastAsia="zh-CN"/>
        </w:rPr>
        <w:t xml:space="preserve"> interior and exterior. (11)</w:t>
      </w:r>
    </w:p>
    <w:p>
      <w:pPr>
        <w:pStyle w:val="style0"/>
        <w:spacing w:before="240" w:after="0" w:lineRule="auto" w:line="240"/>
        <w:jc w:val="lowKashida"/>
        <w:rPr>
          <w:rFonts w:ascii="Times New Roman" w:cs="Times New Roman" w:eastAsia="Calibri" w:hAnsi="Times New Roman"/>
          <w:color w:val="000000"/>
          <w:sz w:val="20"/>
          <w:szCs w:val="20"/>
          <w:lang w:val="en-GB" w:eastAsia="zh-CN"/>
        </w:rPr>
      </w:pPr>
      <w:r>
        <w:rPr>
          <w:rFonts w:ascii="Times New Roman" w:cs="Times New Roman" w:eastAsia="Calibri" w:hAnsi="Times New Roman"/>
          <w:color w:val="000000"/>
          <w:sz w:val="20"/>
          <w:szCs w:val="20"/>
          <w:lang w:val="en-GB" w:eastAsia="zh-CN"/>
        </w:rPr>
        <w:t>Results are better for a single nodular HCC than for many nodules, peri-nodules, or infiltrative development patterns. Multiple distinct tumours may be present in as many as 30% of instances with HCC. Here, it's important to note the total number of lesions and provide detailed descriptions of each one. A little nodule that is near (&lt; 2 cm) to the primary tumour is called a satellite nodule. (12)</w:t>
      </w:r>
    </w:p>
    <w:p>
      <w:pPr>
        <w:pStyle w:val="style0"/>
        <w:spacing w:before="240" w:after="0" w:lineRule="auto" w:line="240"/>
        <w:jc w:val="lowKashida"/>
        <w:rPr>
          <w:rFonts w:ascii="Times New Roman" w:cs="Times New Roman" w:eastAsia="Calibri" w:hAnsi="Times New Roman"/>
          <w:b/>
          <w:bCs/>
          <w:color w:val="000000"/>
          <w:sz w:val="20"/>
          <w:szCs w:val="20"/>
          <w:lang w:val="en-GB" w:eastAsia="zh-CN"/>
        </w:rPr>
      </w:pPr>
      <w:r>
        <w:rPr>
          <w:rFonts w:ascii="Times New Roman" w:cs="Times New Roman" w:eastAsia="Calibri" w:hAnsi="Times New Roman"/>
          <w:b/>
          <w:bCs/>
          <w:color w:val="000000"/>
          <w:sz w:val="20"/>
          <w:szCs w:val="20"/>
          <w:lang w:val="en-GB" w:eastAsia="zh-CN"/>
        </w:rPr>
        <w:t>Molecular and microscopic Characteristics:</w:t>
      </w:r>
    </w:p>
    <w:p>
      <w:pPr>
        <w:pStyle w:val="style0"/>
        <w:spacing w:before="240" w:after="0" w:lineRule="auto" w:line="240"/>
        <w:jc w:val="lowKashida"/>
        <w:rPr>
          <w:rFonts w:ascii="Times New Roman" w:cs="Times New Roman" w:eastAsia="Calibri" w:hAnsi="Times New Roman"/>
          <w:color w:val="000000"/>
          <w:sz w:val="20"/>
          <w:szCs w:val="20"/>
          <w:lang w:val="en-GB" w:eastAsia="zh-CN"/>
        </w:rPr>
      </w:pPr>
      <w:r>
        <w:rPr>
          <w:rFonts w:ascii="Times New Roman" w:cs="Times New Roman" w:eastAsia="Calibri" w:hAnsi="Times New Roman"/>
          <w:color w:val="000000"/>
          <w:sz w:val="20"/>
          <w:szCs w:val="20"/>
          <w:lang w:val="en-GB" w:eastAsia="zh-CN"/>
        </w:rPr>
        <w:t xml:space="preserve">Liver HCC develops in a multistep sequence that begins with pre-neoplastic lesions (e.g., dysplastic foci, LGDN, and HGDN) and progresses to early neoplastic lesions (e.g., early HCC, </w:t>
      </w:r>
      <w:r>
        <w:rPr>
          <w:rFonts w:ascii="Times New Roman" w:cs="Times New Roman" w:eastAsia="Calibri" w:hAnsi="Times New Roman"/>
          <w:color w:val="000000"/>
          <w:sz w:val="20"/>
          <w:szCs w:val="20"/>
          <w:lang w:val="en-GB" w:eastAsia="zh-CN"/>
        </w:rPr>
        <w:t>pHCC</w:t>
      </w:r>
      <w:r>
        <w:rPr>
          <w:rFonts w:ascii="Times New Roman" w:cs="Times New Roman" w:eastAsia="Calibri" w:hAnsi="Times New Roman"/>
          <w:color w:val="000000"/>
          <w:sz w:val="20"/>
          <w:szCs w:val="20"/>
          <w:lang w:val="en-GB" w:eastAsia="zh-CN"/>
        </w:rPr>
        <w:t>, and small and progressed HCC) that are defined by progressive accumulation of morphological and molecular abnormalities (13).</w:t>
      </w:r>
    </w:p>
    <w:p>
      <w:pPr>
        <w:pStyle w:val="style0"/>
        <w:spacing w:before="240" w:after="0" w:lineRule="auto" w:line="240"/>
        <w:jc w:val="lowKashida"/>
        <w:rPr>
          <w:rFonts w:ascii="Times New Roman" w:cs="Times New Roman" w:eastAsia="Calibri" w:hAnsi="Times New Roman"/>
          <w:color w:val="000000"/>
          <w:sz w:val="20"/>
          <w:szCs w:val="20"/>
          <w:lang w:val="en-GB" w:eastAsia="zh-CN"/>
        </w:rPr>
      </w:pPr>
      <w:r>
        <w:rPr>
          <w:rFonts w:ascii="Times New Roman" w:cs="Times New Roman" w:eastAsia="Calibri" w:hAnsi="Times New Roman"/>
          <w:color w:val="000000"/>
          <w:sz w:val="20"/>
          <w:szCs w:val="20"/>
          <w:lang w:val="en-GB" w:eastAsia="zh-CN"/>
        </w:rPr>
        <w:t>Molecular investigations on the growing number of clonal molecular changes corroborate this categorisation as well (12).</w:t>
      </w:r>
    </w:p>
    <w:p>
      <w:pPr>
        <w:pStyle w:val="style0"/>
        <w:spacing w:before="240" w:after="0" w:lineRule="auto" w:line="240"/>
        <w:jc w:val="lowKashida"/>
        <w:rPr>
          <w:rFonts w:ascii="Times New Roman" w:cs="Times New Roman" w:eastAsia="Calibri" w:hAnsi="Times New Roman"/>
          <w:color w:val="000000"/>
          <w:sz w:val="20"/>
          <w:szCs w:val="20"/>
          <w:lang w:val="en-GB" w:eastAsia="zh-CN"/>
        </w:rPr>
      </w:pPr>
      <w:r>
        <w:rPr>
          <w:rFonts w:ascii="Times New Roman" w:cs="Times New Roman" w:eastAsia="Calibri" w:hAnsi="Times New Roman"/>
          <w:color w:val="000000"/>
          <w:sz w:val="20"/>
          <w:szCs w:val="20"/>
          <w:lang w:val="en-GB" w:eastAsia="zh-CN"/>
        </w:rPr>
        <w:t>Incidental findings in chronic liver disease (CLD) include the presence of microscopic lesions called dysplastic foci, which are less than 1 mm in size. The dysplasia in these foci is comparable to that in dysplastic nodules, with characteristics such as massive cell change, minor cell change, or a localised iron free region (13).</w:t>
      </w:r>
    </w:p>
    <w:p>
      <w:pPr>
        <w:pStyle w:val="style0"/>
        <w:spacing w:before="240" w:after="0" w:lineRule="auto" w:line="240"/>
        <w:jc w:val="lowKashida"/>
        <w:rPr>
          <w:rFonts w:ascii="Times New Roman" w:cs="Times New Roman" w:eastAsia="Calibri" w:hAnsi="Times New Roman"/>
          <w:color w:val="000000"/>
          <w:sz w:val="20"/>
          <w:szCs w:val="20"/>
          <w:lang w:val="en-GB" w:eastAsia="zh-CN"/>
        </w:rPr>
      </w:pPr>
      <w:r>
        <w:rPr>
          <w:rFonts w:ascii="Times New Roman" w:cs="Times New Roman" w:eastAsia="Calibri" w:hAnsi="Times New Roman"/>
          <w:color w:val="000000"/>
          <w:sz w:val="20"/>
          <w:szCs w:val="20"/>
          <w:lang w:val="en-GB" w:eastAsia="zh-CN"/>
        </w:rPr>
        <w:t>Hepatocytes often multinucleate, cytoplasm is plentiful, and cellular size is increased, all of which are hallmarks of big cell transformation. Even with massive cell division, the nuclear-cytoplasmic ratio remains constant (14).</w:t>
      </w:r>
    </w:p>
    <w:p>
      <w:pPr>
        <w:pStyle w:val="style0"/>
        <w:spacing w:before="240" w:after="0" w:lineRule="auto" w:line="240"/>
        <w:jc w:val="lowKashida"/>
        <w:rPr>
          <w:rFonts w:ascii="Times New Roman" w:cs="Times New Roman" w:eastAsia="Calibri" w:hAnsi="Times New Roman"/>
          <w:color w:val="000000"/>
          <w:sz w:val="20"/>
          <w:szCs w:val="20"/>
          <w:lang w:val="en-GB" w:eastAsia="zh-CN"/>
        </w:rPr>
      </w:pPr>
      <w:r>
        <w:rPr>
          <w:rFonts w:ascii="Times New Roman" w:cs="Times New Roman" w:eastAsia="Calibri" w:hAnsi="Times New Roman"/>
          <w:color w:val="000000"/>
          <w:sz w:val="20"/>
          <w:szCs w:val="20"/>
          <w:lang w:val="en-GB" w:eastAsia="zh-CN"/>
        </w:rPr>
        <w:t>Hyperchromasia</w:t>
      </w:r>
      <w:r>
        <w:rPr>
          <w:rFonts w:ascii="Times New Roman" w:cs="Times New Roman" w:eastAsia="Calibri" w:hAnsi="Times New Roman"/>
          <w:color w:val="000000"/>
          <w:sz w:val="20"/>
          <w:szCs w:val="20"/>
          <w:lang w:val="en-GB" w:eastAsia="zh-CN"/>
        </w:rPr>
        <w:t>, modest nuclear pleomorphism, cytoplasmic basophilia, increased nuclear-cytoplasmic ratio, and reduced cell volume are the hallmarks of small cell transformation (14).</w:t>
      </w:r>
    </w:p>
    <w:p>
      <w:pPr>
        <w:pStyle w:val="style0"/>
        <w:spacing w:before="240" w:after="0" w:lineRule="auto" w:line="240"/>
        <w:jc w:val="lowKashida"/>
        <w:rPr>
          <w:rFonts w:ascii="Times New Roman" w:cs="Times New Roman" w:eastAsia="Calibri" w:hAnsi="Times New Roman"/>
          <w:color w:val="000000"/>
          <w:sz w:val="20"/>
          <w:szCs w:val="20"/>
          <w:lang w:val="en-GB" w:eastAsia="zh-CN"/>
        </w:rPr>
      </w:pPr>
      <w:r>
        <w:rPr>
          <w:rFonts w:ascii="Times New Roman" w:cs="Times New Roman" w:eastAsia="Calibri" w:hAnsi="Times New Roman"/>
          <w:color w:val="000000"/>
          <w:sz w:val="20"/>
          <w:szCs w:val="20"/>
          <w:lang w:val="en-GB" w:eastAsia="zh-CN"/>
        </w:rPr>
        <w:t>There is a significant frequency of HCC and immunohistochemistry evidence of proliferative activity in iron-free foci seen in individuals with substantial hepatic iron excess (14).</w:t>
      </w:r>
    </w:p>
    <w:p>
      <w:pPr>
        <w:pStyle w:val="style0"/>
        <w:spacing w:before="240" w:after="0" w:lineRule="auto" w:line="240"/>
        <w:jc w:val="lowKashida"/>
        <w:rPr>
          <w:rFonts w:ascii="Times New Roman" w:cs="Times New Roman" w:eastAsia="Calibri" w:hAnsi="Times New Roman"/>
          <w:color w:val="000000"/>
          <w:sz w:val="20"/>
          <w:szCs w:val="20"/>
          <w:lang w:val="en-GB" w:eastAsia="zh-CN"/>
        </w:rPr>
      </w:pPr>
      <w:r>
        <w:rPr>
          <w:rFonts w:ascii="Times New Roman" w:cs="Times New Roman" w:eastAsia="Calibri" w:hAnsi="Times New Roman"/>
          <w:color w:val="000000"/>
          <w:sz w:val="20"/>
          <w:szCs w:val="20"/>
          <w:lang w:val="en-GB" w:eastAsia="zh-CN"/>
        </w:rPr>
        <w:t>While cirrhosis is the most common cause of dysplastic nodules in the liver, CLD without cirrhosis is also sometimes seen. These may be one or many lesions, and their diameters range from 5 to 15 mm (15).</w:t>
      </w:r>
    </w:p>
    <w:p>
      <w:pPr>
        <w:pStyle w:val="style0"/>
        <w:spacing w:before="240" w:after="0" w:lineRule="auto" w:line="240"/>
        <w:jc w:val="lowKashida"/>
        <w:rPr>
          <w:rFonts w:ascii="Times New Roman" w:cs="Times New Roman" w:eastAsia="Calibri" w:hAnsi="Times New Roman"/>
          <w:color w:val="000000"/>
          <w:sz w:val="20"/>
          <w:szCs w:val="20"/>
          <w:lang w:val="en-GB" w:eastAsia="zh-CN"/>
        </w:rPr>
      </w:pPr>
      <w:r>
        <w:rPr>
          <w:rFonts w:ascii="Times New Roman" w:cs="Times New Roman" w:eastAsia="Calibri" w:hAnsi="Times New Roman"/>
          <w:color w:val="000000"/>
          <w:sz w:val="20"/>
          <w:szCs w:val="20"/>
          <w:lang w:val="en-GB" w:eastAsia="zh-CN"/>
        </w:rPr>
        <w:t xml:space="preserve">(LGDN): compared to the surrounding cirrhotic liver, this nodular lesion has a uniform cell population, a little increase in cell density, a characteristic trabecular structure, and no architectural atypia (15). </w:t>
      </w:r>
    </w:p>
    <w:p>
      <w:pPr>
        <w:pStyle w:val="style0"/>
        <w:spacing w:before="240" w:after="0" w:lineRule="auto" w:line="240"/>
        <w:jc w:val="lowKashida"/>
        <w:rPr>
          <w:rFonts w:ascii="Times New Roman" w:cs="Times New Roman" w:eastAsia="Calibri" w:hAnsi="Times New Roman"/>
          <w:color w:val="000000"/>
          <w:sz w:val="20"/>
          <w:szCs w:val="20"/>
          <w:lang w:val="en-GB" w:eastAsia="zh-CN"/>
        </w:rPr>
      </w:pPr>
      <w:r>
        <w:rPr>
          <w:rFonts w:ascii="Times New Roman" w:cs="Times New Roman" w:eastAsia="Calibri" w:hAnsi="Times New Roman"/>
          <w:color w:val="000000"/>
          <w:sz w:val="20"/>
          <w:szCs w:val="20"/>
          <w:lang w:val="en-GB" w:eastAsia="zh-CN"/>
        </w:rPr>
        <w:t xml:space="preserve">(HGDNs): Hepatocyte proliferation with abnormal cytological and/or architectural characteristics characterises HGDNs, but does not adequately indicate HCC. </w:t>
      </w:r>
      <w:r>
        <w:rPr>
          <w:rFonts w:ascii="Times New Roman" w:cs="Times New Roman" w:eastAsia="Calibri" w:hAnsi="Times New Roman"/>
          <w:color w:val="000000"/>
          <w:sz w:val="20"/>
          <w:szCs w:val="20"/>
          <w:lang w:val="en-GB" w:eastAsia="zh-CN"/>
        </w:rPr>
        <w:t>A</w:t>
      </w:r>
      <w:r>
        <w:rPr>
          <w:rFonts w:ascii="Times New Roman" w:cs="Times New Roman" w:eastAsia="Calibri" w:hAnsi="Times New Roman"/>
          <w:color w:val="000000"/>
          <w:sz w:val="20"/>
          <w:szCs w:val="20"/>
          <w:lang w:val="en-GB" w:eastAsia="zh-CN"/>
        </w:rPr>
        <w:t xml:space="preserve"> increased cellular density and, more often than not, minor cell changes are hallmarks of HGDN (16)</w:t>
      </w:r>
    </w:p>
    <w:p>
      <w:pPr>
        <w:pStyle w:val="style0"/>
        <w:spacing w:before="240" w:after="0" w:lineRule="auto" w:line="240"/>
        <w:jc w:val="lowKashida"/>
        <w:rPr>
          <w:rFonts w:ascii="Times New Roman" w:cs="Times New Roman" w:eastAsia="Calibri" w:hAnsi="Times New Roman"/>
          <w:b/>
          <w:bCs/>
          <w:color w:val="000000"/>
          <w:sz w:val="20"/>
          <w:szCs w:val="20"/>
          <w:lang w:val="en-GB" w:eastAsia="zh-CN"/>
        </w:rPr>
      </w:pPr>
      <w:r>
        <w:rPr>
          <w:rFonts w:ascii="Times New Roman" w:cs="Times New Roman" w:eastAsia="Calibri" w:hAnsi="Times New Roman"/>
          <w:b/>
          <w:bCs/>
          <w:color w:val="000000"/>
          <w:sz w:val="20"/>
          <w:szCs w:val="20"/>
          <w:lang w:val="en-GB" w:eastAsia="zh-CN"/>
        </w:rPr>
        <w:t>Pathology of HCC under the microscope:</w:t>
      </w:r>
    </w:p>
    <w:p>
      <w:pPr>
        <w:pStyle w:val="style0"/>
        <w:spacing w:before="240" w:after="0" w:lineRule="auto" w:line="240"/>
        <w:jc w:val="lowKashida"/>
        <w:rPr>
          <w:rFonts w:ascii="Times New Roman" w:cs="Times New Roman" w:eastAsia="Calibri" w:hAnsi="Times New Roman"/>
          <w:color w:val="000000"/>
          <w:sz w:val="20"/>
          <w:szCs w:val="20"/>
          <w:lang w:val="en-GB" w:eastAsia="zh-CN"/>
        </w:rPr>
      </w:pPr>
      <w:r>
        <w:rPr>
          <w:rFonts w:ascii="Times New Roman" w:cs="Times New Roman" w:eastAsia="Calibri" w:hAnsi="Times New Roman"/>
          <w:color w:val="000000"/>
          <w:sz w:val="20"/>
          <w:szCs w:val="20"/>
          <w:lang w:val="en-GB" w:eastAsia="zh-CN"/>
        </w:rPr>
        <w:t xml:space="preserve">β-catenin, encoded by CTNNB1 and involved in cholestatic HCC, is an important intracellular transducer of the WNT signalling system that controls liver function and zonation. The stabilisation and subsequent nuclear accumulation of β-catenin, which increases cell proliferation and survival, is </w:t>
      </w:r>
      <w:r>
        <w:rPr>
          <w:rFonts w:ascii="Times New Roman" w:cs="Times New Roman" w:eastAsia="Calibri" w:hAnsi="Times New Roman"/>
          <w:color w:val="000000"/>
          <w:sz w:val="20"/>
          <w:szCs w:val="20"/>
          <w:lang w:val="en-GB" w:eastAsia="zh-CN"/>
        </w:rPr>
        <w:t>caused by mutations in CTNNB1. Micro-trabecular and pseudo-glandular growth patterns, intra-tumoral cholestasis, absence of immune infiltration, glutamine synthetase (GS), and nuclear β-catenin expression at the phenotypic level are characteristics of HCCs mutant in CTNNB1. sixteen (16)</w:t>
      </w:r>
    </w:p>
    <w:p>
      <w:pPr>
        <w:pStyle w:val="style0"/>
        <w:spacing w:before="240" w:after="0" w:lineRule="auto" w:line="240"/>
        <w:jc w:val="lowKashida"/>
        <w:rPr>
          <w:rFonts w:ascii="Times New Roman" w:cs="Times New Roman" w:eastAsia="Calibri" w:hAnsi="Times New Roman"/>
          <w:color w:val="000000"/>
          <w:sz w:val="20"/>
          <w:szCs w:val="20"/>
          <w:lang w:val="en-GB" w:eastAsia="zh-CN"/>
        </w:rPr>
      </w:pPr>
      <w:r>
        <w:rPr>
          <w:rFonts w:ascii="Times New Roman" w:cs="Times New Roman" w:eastAsia="Calibri" w:hAnsi="Times New Roman"/>
          <w:color w:val="000000"/>
          <w:sz w:val="20"/>
          <w:szCs w:val="20"/>
          <w:lang w:val="en-GB" w:eastAsia="zh-CN"/>
        </w:rPr>
        <w:t>Regardless of the accompanying cytological characteristics, macro-trabecular-massive HCC (MTM-HCC) is characterised by the existence of an architectural pattern that makes up a significant amount (&gt;50%) of the lesion. This pattern is characterised by trabeculae that are &gt;6 cells thick. Aggressive clinicopathological features, such as vascular (</w:t>
      </w:r>
      <w:r>
        <w:rPr>
          <w:rFonts w:ascii="Times New Roman" w:cs="Times New Roman" w:eastAsia="Calibri" w:hAnsi="Times New Roman"/>
          <w:color w:val="000000"/>
          <w:sz w:val="20"/>
          <w:szCs w:val="20"/>
          <w:lang w:val="en-GB" w:eastAsia="zh-CN"/>
        </w:rPr>
        <w:t>microand</w:t>
      </w:r>
      <w:r>
        <w:rPr>
          <w:rFonts w:ascii="Times New Roman" w:cs="Times New Roman" w:eastAsia="Calibri" w:hAnsi="Times New Roman"/>
          <w:color w:val="000000"/>
          <w:sz w:val="20"/>
          <w:szCs w:val="20"/>
          <w:lang w:val="en-GB" w:eastAsia="zh-CN"/>
        </w:rPr>
        <w:t xml:space="preserve">/or macro) invasion and many satellite nodules, are linked with these. The majority of patients with MTM-HCC also have high levels of alpha-fetoprotein serum and are infected with HBV. (16). A number of features are characteristic of MTM-HCCs, including angiogenesis activation, TP53 mutations and/or FGF19 amplification, and the overexpression of VEGFA and angiopoietin 2. (16) </w:t>
      </w:r>
      <w:r>
        <w:rPr>
          <w:rFonts w:ascii="Times New Roman" w:cs="Times New Roman" w:eastAsia="Calibri" w:hAnsi="Times New Roman"/>
          <w:color w:val="000000"/>
          <w:sz w:val="20"/>
          <w:szCs w:val="20"/>
          <w:lang w:val="en-GB" w:eastAsia="zh-CN"/>
        </w:rPr>
        <w:t>A new research</w:t>
      </w:r>
      <w:r>
        <w:rPr>
          <w:rFonts w:ascii="Times New Roman" w:cs="Times New Roman" w:eastAsia="Calibri" w:hAnsi="Times New Roman"/>
          <w:color w:val="000000"/>
          <w:sz w:val="20"/>
          <w:szCs w:val="20"/>
          <w:lang w:val="en-GB" w:eastAsia="zh-CN"/>
        </w:rPr>
        <w:t xml:space="preserve"> confirmed that MTM-HCC is marked by increased expression of angiogenesis-related genes and found ESM1 to be a particular biomarker of MTM-HCC endothelial cells (EC) at the immune-histochemical level (16).</w:t>
      </w:r>
    </w:p>
    <w:p>
      <w:pPr>
        <w:pStyle w:val="style0"/>
        <w:spacing w:before="240" w:after="0" w:lineRule="auto" w:line="240"/>
        <w:jc w:val="lowKashida"/>
        <w:rPr>
          <w:rFonts w:ascii="Times New Roman" w:cs="Times New Roman" w:eastAsia="Calibri" w:hAnsi="Times New Roman"/>
          <w:color w:val="000000"/>
          <w:sz w:val="20"/>
          <w:szCs w:val="20"/>
          <w:lang w:val="en-GB" w:eastAsia="zh-CN"/>
        </w:rPr>
      </w:pPr>
      <w:r>
        <w:rPr>
          <w:rFonts w:ascii="Times New Roman" w:cs="Times New Roman" w:eastAsia="Calibri" w:hAnsi="Times New Roman"/>
          <w:color w:val="000000"/>
          <w:sz w:val="20"/>
          <w:szCs w:val="20"/>
          <w:lang w:val="en-GB" w:eastAsia="zh-CN"/>
        </w:rPr>
        <w:t>Neoplastic cells and thick fibrous stroma are hallmarks of the scirrhous subtype of hepatocellular carcinoma (HCC). It is common for tumour cells to display markers that are linked to cancer stem cells or progenitors, such as CK7, CK19, or CD133. The histological features of scirrhous HCC are in line with its associations with activation of the transforming growth factor beta (TGF-β) pathway, overexpression of VIM, SNAIL, SMAD4, and TWIST, and characteristics of epithelial-to-mesenchymal transition. sixteen (16)</w:t>
      </w:r>
    </w:p>
    <w:p>
      <w:pPr>
        <w:pStyle w:val="style0"/>
        <w:spacing w:before="240" w:after="0" w:lineRule="auto" w:line="240"/>
        <w:jc w:val="lowKashida"/>
        <w:rPr>
          <w:rFonts w:ascii="Times New Roman" w:cs="Times New Roman" w:eastAsia="Calibri" w:hAnsi="Times New Roman"/>
          <w:color w:val="000000"/>
          <w:sz w:val="20"/>
          <w:szCs w:val="20"/>
          <w:lang w:val="en-GB" w:eastAsia="zh-CN"/>
        </w:rPr>
      </w:pPr>
      <w:r>
        <w:rPr>
          <w:rFonts w:ascii="Times New Roman" w:cs="Times New Roman" w:eastAsia="Calibri" w:hAnsi="Times New Roman"/>
          <w:color w:val="000000"/>
          <w:sz w:val="20"/>
          <w:szCs w:val="20"/>
          <w:lang w:val="en-GB" w:eastAsia="zh-CN"/>
        </w:rPr>
        <w:t xml:space="preserve">The hallmarks of </w:t>
      </w:r>
      <w:r>
        <w:rPr>
          <w:rFonts w:ascii="Times New Roman" w:cs="Times New Roman" w:eastAsia="Calibri" w:hAnsi="Times New Roman"/>
          <w:color w:val="000000"/>
          <w:sz w:val="20"/>
          <w:szCs w:val="20"/>
          <w:lang w:val="en-GB" w:eastAsia="zh-CN"/>
        </w:rPr>
        <w:t>steatohepatitic</w:t>
      </w:r>
      <w:r>
        <w:rPr>
          <w:rFonts w:ascii="Times New Roman" w:cs="Times New Roman" w:eastAsia="Calibri" w:hAnsi="Times New Roman"/>
          <w:color w:val="000000"/>
          <w:sz w:val="20"/>
          <w:szCs w:val="20"/>
          <w:lang w:val="en-GB" w:eastAsia="zh-CN"/>
        </w:rPr>
        <w:t xml:space="preserve"> HCC (SH-HCC) include Mallory-Denk bodies, tumour cell ballooning, peri-cellular fibrosis, and intra-tumoral inflammatory infiltrates. Typically, these tumours are well-differentiated. (17) The phenotypic level shows that the neoplastic cells overexpress C-reactive protein (CRP), a gene that is targeted by the Janus kinase/signal transducers and activators of transcription protein (JAK/STAT) signalling pathway. (16). Patients with non-alcoholic </w:t>
      </w:r>
      <w:r>
        <w:rPr>
          <w:rFonts w:ascii="Times New Roman" w:cs="Times New Roman" w:eastAsia="Calibri" w:hAnsi="Times New Roman"/>
          <w:color w:val="000000"/>
          <w:sz w:val="20"/>
          <w:szCs w:val="20"/>
          <w:lang w:val="en-GB" w:eastAsia="zh-CN"/>
        </w:rPr>
        <w:t>steato</w:t>
      </w:r>
      <w:r>
        <w:rPr>
          <w:rFonts w:ascii="Times New Roman" w:cs="Times New Roman" w:eastAsia="Calibri" w:hAnsi="Times New Roman"/>
          <w:color w:val="000000"/>
          <w:sz w:val="20"/>
          <w:szCs w:val="20"/>
          <w:lang w:val="en-GB" w:eastAsia="zh-CN"/>
        </w:rPr>
        <w:t xml:space="preserve">-hepatitis (NASH) and alcoholic </w:t>
      </w:r>
      <w:r>
        <w:rPr>
          <w:rFonts w:ascii="Times New Roman" w:cs="Times New Roman" w:eastAsia="Calibri" w:hAnsi="Times New Roman"/>
          <w:color w:val="000000"/>
          <w:sz w:val="20"/>
          <w:szCs w:val="20"/>
          <w:lang w:val="en-GB" w:eastAsia="zh-CN"/>
        </w:rPr>
        <w:t>steato</w:t>
      </w:r>
      <w:r>
        <w:rPr>
          <w:rFonts w:ascii="Times New Roman" w:cs="Times New Roman" w:eastAsia="Calibri" w:hAnsi="Times New Roman"/>
          <w:color w:val="000000"/>
          <w:sz w:val="20"/>
          <w:szCs w:val="20"/>
          <w:lang w:val="en-GB" w:eastAsia="zh-CN"/>
        </w:rPr>
        <w:t xml:space="preserve">-hepatitis (ASH) are more likely to have SH-HCC. Molecular similarities </w:t>
      </w:r>
      <w:r>
        <w:rPr>
          <w:rFonts w:ascii="Times New Roman" w:cs="Times New Roman" w:eastAsia="Calibri" w:hAnsi="Times New Roman"/>
          <w:color w:val="000000"/>
          <w:sz w:val="20"/>
          <w:szCs w:val="20"/>
          <w:lang w:val="en-GB" w:eastAsia="zh-CN"/>
        </w:rPr>
        <w:t xml:space="preserve">between SH-HCCs forming in ASH and NASH point to </w:t>
      </w:r>
      <w:r>
        <w:rPr>
          <w:rFonts w:ascii="Times New Roman" w:cs="Times New Roman" w:eastAsia="Calibri" w:hAnsi="Times New Roman"/>
          <w:color w:val="000000"/>
          <w:sz w:val="20"/>
          <w:szCs w:val="20"/>
          <w:lang w:val="en-GB" w:eastAsia="zh-CN"/>
        </w:rPr>
        <w:t>steato</w:t>
      </w:r>
      <w:r>
        <w:rPr>
          <w:rFonts w:ascii="Times New Roman" w:cs="Times New Roman" w:eastAsia="Calibri" w:hAnsi="Times New Roman"/>
          <w:color w:val="000000"/>
          <w:sz w:val="20"/>
          <w:szCs w:val="20"/>
          <w:lang w:val="en-GB" w:eastAsia="zh-CN"/>
        </w:rPr>
        <w:t xml:space="preserve">-hepatitis being a driver of cancer initiation rather than the underlying liver disease. (18). </w:t>
      </w:r>
      <w:r>
        <w:rPr>
          <w:rFonts w:ascii="Times New Roman" w:cs="Times New Roman" w:eastAsia="Calibri" w:hAnsi="Times New Roman"/>
          <w:color w:val="000000"/>
          <w:sz w:val="20"/>
          <w:szCs w:val="20"/>
          <w:lang w:val="en-GB" w:eastAsia="zh-CN"/>
        </w:rPr>
        <w:t>An</w:t>
      </w:r>
      <w:r>
        <w:rPr>
          <w:rFonts w:ascii="Times New Roman" w:cs="Times New Roman" w:eastAsia="Calibri" w:hAnsi="Times New Roman"/>
          <w:color w:val="000000"/>
          <w:sz w:val="20"/>
          <w:szCs w:val="20"/>
          <w:lang w:val="en-GB" w:eastAsia="zh-CN"/>
        </w:rPr>
        <w:t xml:space="preserve"> good histological categorisation of HCC and surrounding hepatic backdrop is necessary to appropriately treat patients with various medications, since a recent research shown that immunotherapy is less effective against non-viral HCC, especially HCC that develops in the context of NASH (19)</w:t>
      </w:r>
    </w:p>
    <w:p>
      <w:pPr>
        <w:pStyle w:val="style0"/>
        <w:spacing w:before="240" w:after="0" w:lineRule="auto" w:line="240"/>
        <w:jc w:val="lowKashida"/>
        <w:rPr>
          <w:rFonts w:ascii="Times New Roman" w:cs="Times New Roman" w:eastAsia="Calibri" w:hAnsi="Times New Roman"/>
          <w:color w:val="000000"/>
          <w:sz w:val="20"/>
          <w:szCs w:val="20"/>
          <w:lang w:val="en-GB" w:eastAsia="zh-CN"/>
        </w:rPr>
      </w:pPr>
      <w:r>
        <w:rPr>
          <w:rFonts w:ascii="Times New Roman" w:cs="Times New Roman" w:eastAsia="Calibri" w:hAnsi="Times New Roman"/>
          <w:color w:val="000000"/>
          <w:sz w:val="20"/>
          <w:szCs w:val="20"/>
          <w:lang w:val="en-GB" w:eastAsia="zh-CN"/>
        </w:rPr>
        <w:t xml:space="preserve">On microscopic analysis, lymphocytes dominate the neoplastic cells in the majority of areas in lymphocyte-rich HCC, an uncommon </w:t>
      </w:r>
      <w:r>
        <w:rPr>
          <w:rFonts w:ascii="Times New Roman" w:cs="Times New Roman" w:eastAsia="Calibri" w:hAnsi="Times New Roman"/>
          <w:color w:val="000000"/>
          <w:sz w:val="20"/>
          <w:szCs w:val="20"/>
          <w:lang w:val="en-GB" w:eastAsia="zh-CN"/>
        </w:rPr>
        <w:t>histotype</w:t>
      </w:r>
      <w:r>
        <w:rPr>
          <w:rFonts w:ascii="Times New Roman" w:cs="Times New Roman" w:eastAsia="Calibri" w:hAnsi="Times New Roman"/>
          <w:color w:val="000000"/>
          <w:sz w:val="20"/>
          <w:szCs w:val="20"/>
          <w:lang w:val="en-GB" w:eastAsia="zh-CN"/>
        </w:rPr>
        <w:t>. There is evidence that intra-tumoral lymphocytic infiltration may have an anticancer impact, as HCCs rich in lymphocytes have been linked to better overall survival. Cytotoxic CD8+ T-lymphocytes with elevated PD-L1 and PD1 expression make up the vast majority of the infiltrating lymphocytes. These lymphocyte-rich HCCs did not show signs of microsatellite instability or an increased number of somatic mutations, in contrast to other cancers like lung and colon that have lymphocytic infiltration and been associated with high mutational burdens (20).</w:t>
      </w:r>
    </w:p>
    <w:p>
      <w:pPr>
        <w:pStyle w:val="style0"/>
        <w:spacing w:before="240" w:after="0" w:lineRule="auto" w:line="240"/>
        <w:jc w:val="lowKashida"/>
        <w:rPr>
          <w:rFonts w:ascii="Times New Roman" w:cs="Times New Roman" w:eastAsia="Calibri" w:hAnsi="Times New Roman"/>
          <w:b/>
          <w:bCs/>
          <w:color w:val="000000"/>
          <w:sz w:val="20"/>
          <w:szCs w:val="20"/>
          <w:lang w:val="en-GB" w:eastAsia="zh-CN"/>
        </w:rPr>
      </w:pPr>
      <w:r>
        <w:rPr>
          <w:rFonts w:ascii="Times New Roman" w:cs="Times New Roman" w:eastAsia="Calibri" w:hAnsi="Times New Roman"/>
          <w:b/>
          <w:bCs/>
          <w:color w:val="000000"/>
          <w:sz w:val="20"/>
          <w:szCs w:val="20"/>
          <w:lang w:val="en-GB" w:eastAsia="zh-CN"/>
        </w:rPr>
        <w:t>Making an HCC diagnosis</w:t>
      </w:r>
    </w:p>
    <w:p>
      <w:pPr>
        <w:pStyle w:val="style0"/>
        <w:spacing w:before="240" w:after="0" w:lineRule="auto" w:line="240"/>
        <w:jc w:val="lowKashida"/>
        <w:rPr>
          <w:rFonts w:ascii="Times New Roman" w:cs="Times New Roman" w:eastAsia="Calibri" w:hAnsi="Times New Roman"/>
          <w:color w:val="000000"/>
          <w:sz w:val="20"/>
          <w:szCs w:val="20"/>
          <w:lang w:val="en-GB" w:eastAsia="zh-CN"/>
        </w:rPr>
      </w:pPr>
      <w:r>
        <w:rPr>
          <w:rFonts w:ascii="Times New Roman" w:cs="Times New Roman" w:eastAsia="Calibri" w:hAnsi="Times New Roman"/>
          <w:color w:val="000000"/>
          <w:sz w:val="20"/>
          <w:szCs w:val="20"/>
          <w:lang w:val="en-GB" w:eastAsia="zh-CN"/>
        </w:rPr>
        <w:t>Discovering HCC before it progresses to later stages of illness may be tricky since it often develops and expands silently. A significant number of cancer fatalities are caused by hepatocellular carcinoma (HCC), but asymptomatic HCC is now more often found due to systematic monitoring of high-risk individuals. Aggressive treatments that have been shown to extend life are more likely to be appropriate for these patients whose tumours are detected before hepatic decompensation or other problems arise. (21).</w:t>
      </w:r>
    </w:p>
    <w:p>
      <w:pPr>
        <w:pStyle w:val="style0"/>
        <w:spacing w:before="240" w:after="0" w:lineRule="auto" w:line="240"/>
        <w:jc w:val="lowKashida"/>
        <w:rPr>
          <w:rFonts w:ascii="Times New Roman" w:cs="Times New Roman" w:eastAsia="Calibri" w:hAnsi="Times New Roman"/>
          <w:color w:val="000000"/>
          <w:sz w:val="20"/>
          <w:szCs w:val="20"/>
          <w:lang w:val="en-GB" w:eastAsia="zh-CN"/>
        </w:rPr>
      </w:pPr>
      <w:r>
        <w:rPr>
          <w:rFonts w:ascii="Times New Roman" w:cs="Times New Roman" w:eastAsia="Calibri" w:hAnsi="Times New Roman"/>
          <w:color w:val="000000"/>
          <w:sz w:val="20"/>
          <w:szCs w:val="20"/>
          <w:lang w:val="en-GB" w:eastAsia="zh-CN"/>
        </w:rPr>
        <w:t>Using imaging modalities is common practice when trying to make the challenging diagnosis of HCC. The objective is to identify tumours at a size of 2 cm or less so that all possible treatments may be considered. When patients have their tumours diagnosed early and treated, the five-year survival rate is higher than 70%. (21)</w:t>
      </w:r>
    </w:p>
    <w:p>
      <w:pPr>
        <w:pStyle w:val="style0"/>
        <w:spacing w:before="240" w:after="0" w:lineRule="auto" w:line="240"/>
        <w:jc w:val="lowKashida"/>
        <w:rPr>
          <w:rFonts w:ascii="Times New Roman" w:cs="Times New Roman" w:eastAsia="Calibri" w:hAnsi="Times New Roman"/>
          <w:color w:val="000000"/>
          <w:sz w:val="20"/>
          <w:szCs w:val="20"/>
          <w:lang w:val="en-GB" w:eastAsia="zh-CN"/>
        </w:rPr>
      </w:pPr>
      <w:r>
        <w:rPr>
          <w:rFonts w:ascii="Times New Roman" w:cs="Times New Roman" w:eastAsia="Calibri" w:hAnsi="Times New Roman"/>
          <w:color w:val="000000"/>
          <w:sz w:val="20"/>
          <w:szCs w:val="20"/>
          <w:lang w:val="en-GB" w:eastAsia="zh-CN"/>
        </w:rPr>
        <w:t xml:space="preserve">The onset of clinical deterioration, at which point survival is assessed in months, is often seen following a diagnosis of HCC. Screening and early detection of HCC can be achieved through surveillance of high-risk individuals for the disease. This is often done using multiple modalities to improve the accuracy of </w:t>
      </w:r>
      <w:r>
        <w:rPr>
          <w:rFonts w:ascii="Times New Roman" w:cs="Times New Roman" w:eastAsia="Calibri" w:hAnsi="Times New Roman"/>
          <w:color w:val="000000"/>
          <w:sz w:val="20"/>
          <w:szCs w:val="20"/>
          <w:lang w:val="en-GB" w:eastAsia="zh-CN"/>
        </w:rPr>
        <w:t>the screening and identify small tumours, which are often found in asymptomatic individuals and may be more responsive to invasive treatment options. Therefore, accurate diagnosis of HCC can reduce deaths and improve outcomes through treatment.</w:t>
      </w:r>
    </w:p>
    <w:p>
      <w:pPr>
        <w:pStyle w:val="style0"/>
        <w:spacing w:before="240" w:after="0" w:lineRule="auto" w:line="240"/>
        <w:jc w:val="lowKashida"/>
        <w:rPr>
          <w:rFonts w:ascii="Times New Roman" w:cs="Times New Roman" w:eastAsia="Calibri" w:hAnsi="Times New Roman"/>
          <w:b/>
          <w:bCs/>
          <w:color w:val="000000"/>
          <w:sz w:val="20"/>
          <w:szCs w:val="20"/>
          <w:lang w:val="en-GB" w:eastAsia="zh-CN"/>
        </w:rPr>
      </w:pPr>
      <w:r>
        <w:rPr>
          <w:rFonts w:ascii="Times New Roman" w:cs="Times New Roman" w:eastAsia="Calibri" w:hAnsi="Times New Roman"/>
          <w:b/>
          <w:bCs/>
          <w:color w:val="000000"/>
          <w:sz w:val="20"/>
          <w:szCs w:val="20"/>
          <w:lang w:val="en-GB" w:eastAsia="zh-CN"/>
        </w:rPr>
        <w:t>Treatment for HCC</w:t>
      </w:r>
    </w:p>
    <w:p>
      <w:pPr>
        <w:pStyle w:val="style0"/>
        <w:spacing w:before="240" w:after="0" w:lineRule="auto" w:line="240"/>
        <w:jc w:val="lowKashida"/>
        <w:rPr>
          <w:rFonts w:ascii="Times New Roman" w:cs="Times New Roman" w:eastAsia="Calibri" w:hAnsi="Times New Roman"/>
          <w:color w:val="000000"/>
          <w:sz w:val="20"/>
          <w:szCs w:val="20"/>
          <w:lang w:val="en-GB" w:eastAsia="zh-CN"/>
        </w:rPr>
      </w:pPr>
      <w:r>
        <w:rPr>
          <w:rFonts w:ascii="Times New Roman" w:cs="Times New Roman" w:eastAsia="Calibri" w:hAnsi="Times New Roman"/>
          <w:color w:val="000000"/>
          <w:sz w:val="20"/>
          <w:szCs w:val="20"/>
          <w:lang w:val="en-GB" w:eastAsia="zh-CN"/>
        </w:rPr>
        <w:t>Recently, there has been a significant improvement in the care of HCC, a neoplasia that is both common and deadly. Improved prognosis prediction and treatment sensitivity have resulted from advances in tumour natural history research and staging systems that categorise patients based on tumour features, liver disease, and performance status (e.g., the Barcelona Clinic Liver Cancer system). Curative therapy such as resection, transplantation, and ablation may enhance survival rates and provide hope for a permanent cure for individuals diagnosed with early-stage HCC. Sorafenib, a multi-kinase inhibitor with antiangiogenic and anti-proliferative properties, is helpful for patients diagnosed with advanced HCC, whereas chemoembolization is effective for those with intermediate stage (22).</w:t>
      </w:r>
    </w:p>
    <w:p>
      <w:pPr>
        <w:pStyle w:val="style0"/>
        <w:spacing w:before="240" w:after="0" w:lineRule="auto" w:line="240"/>
        <w:jc w:val="lowKashida"/>
        <w:rPr>
          <w:rFonts w:ascii="Times New Roman" w:cs="Times New Roman" w:eastAsia="Calibri" w:hAnsi="Times New Roman"/>
          <w:b/>
          <w:bCs/>
          <w:color w:val="000000"/>
          <w:sz w:val="20"/>
          <w:szCs w:val="20"/>
          <w:lang w:val="en-GB" w:eastAsia="zh-CN"/>
        </w:rPr>
      </w:pPr>
      <w:r>
        <w:rPr>
          <w:rFonts w:ascii="Times New Roman" w:cs="Times New Roman" w:eastAsia="Calibri" w:hAnsi="Times New Roman"/>
          <w:b/>
          <w:bCs/>
          <w:color w:val="000000"/>
          <w:sz w:val="20"/>
          <w:szCs w:val="20"/>
          <w:lang w:val="en-GB" w:eastAsia="zh-CN"/>
        </w:rPr>
        <w:t>The treatment of HCC may be approached in several ways, including the following:</w:t>
      </w:r>
    </w:p>
    <w:p>
      <w:pPr>
        <w:pStyle w:val="style0"/>
        <w:spacing w:before="240" w:after="0" w:lineRule="auto" w:line="240"/>
        <w:jc w:val="lowKashida"/>
        <w:rPr>
          <w:rFonts w:ascii="Times New Roman" w:cs="Times New Roman" w:eastAsia="Calibri" w:hAnsi="Times New Roman"/>
          <w:color w:val="000000"/>
          <w:sz w:val="20"/>
          <w:szCs w:val="20"/>
          <w:lang w:val="en-GB" w:eastAsia="zh-CN"/>
        </w:rPr>
      </w:pPr>
      <w:r>
        <w:rPr>
          <w:rFonts w:ascii="Times New Roman" w:cs="Times New Roman" w:eastAsia="Calibri" w:hAnsi="Times New Roman"/>
          <w:color w:val="000000"/>
          <w:sz w:val="20"/>
          <w:szCs w:val="20"/>
          <w:lang w:val="en-GB" w:eastAsia="zh-CN"/>
        </w:rPr>
        <w:t>Techniques that do not involve surgery include radiofrequency ablation, microwave ablation, percutaneous ethanol injection, trans-arterial chemoembolization (TACE), and medical procedures include hormonal and cytotoxic medication administration and tumour removal.</w:t>
      </w:r>
    </w:p>
    <w:p>
      <w:pPr>
        <w:pStyle w:val="style0"/>
        <w:spacing w:before="240" w:after="0" w:lineRule="auto" w:line="240"/>
        <w:jc w:val="lowKashida"/>
        <w:rPr>
          <w:rFonts w:ascii="Times New Roman" w:cs="Times New Roman" w:eastAsia="Calibri" w:hAnsi="Times New Roman"/>
          <w:b/>
          <w:bCs/>
          <w:color w:val="000000"/>
          <w:sz w:val="20"/>
          <w:szCs w:val="20"/>
          <w:lang w:val="en-GB" w:eastAsia="zh-CN"/>
        </w:rPr>
      </w:pPr>
      <w:r>
        <w:rPr>
          <w:rFonts w:ascii="Times New Roman" w:cs="Times New Roman" w:eastAsia="Calibri" w:hAnsi="Times New Roman"/>
          <w:b/>
          <w:bCs/>
          <w:color w:val="000000"/>
          <w:sz w:val="20"/>
          <w:szCs w:val="20"/>
          <w:lang w:val="en-GB" w:eastAsia="zh-CN"/>
        </w:rPr>
        <w:t>TACE</w:t>
      </w:r>
    </w:p>
    <w:p>
      <w:pPr>
        <w:pStyle w:val="style0"/>
        <w:spacing w:before="240" w:after="0" w:lineRule="auto" w:line="240"/>
        <w:jc w:val="lowKashida"/>
        <w:rPr>
          <w:rFonts w:ascii="Times New Roman" w:cs="Times New Roman" w:eastAsia="Calibri" w:hAnsi="Times New Roman"/>
          <w:color w:val="000000"/>
          <w:sz w:val="20"/>
          <w:szCs w:val="20"/>
          <w:lang w:val="en-GB" w:eastAsia="zh-CN"/>
        </w:rPr>
      </w:pPr>
      <w:r>
        <w:rPr>
          <w:rFonts w:ascii="Times New Roman" w:cs="Times New Roman" w:eastAsia="Calibri" w:hAnsi="Times New Roman"/>
          <w:color w:val="000000"/>
          <w:sz w:val="20"/>
          <w:szCs w:val="20"/>
          <w:lang w:val="en-GB" w:eastAsia="zh-CN"/>
        </w:rPr>
        <w:t>A large number of patients aren't eligible for curative surgical or non-surgical treatment due to advanced tumour stage or poor general patient condition; thus, there is a need for effective palliative and, to a lesser degree, curative treatment for HCC, despite the availability of numerous curative options. The survival advantage of (TACE) has only been shown, and it has already become a regular therapy for certain patients (24).</w:t>
      </w:r>
    </w:p>
    <w:p>
      <w:pPr>
        <w:pStyle w:val="style0"/>
        <w:spacing w:before="240" w:after="0" w:lineRule="auto" w:line="240"/>
        <w:jc w:val="lowKashida"/>
        <w:rPr>
          <w:rFonts w:ascii="Times New Roman" w:cs="Times New Roman" w:eastAsia="Calibri" w:hAnsi="Times New Roman"/>
          <w:b/>
          <w:bCs/>
          <w:color w:val="000000"/>
          <w:sz w:val="20"/>
          <w:szCs w:val="20"/>
          <w:lang w:val="en-GB" w:eastAsia="zh-CN"/>
        </w:rPr>
      </w:pPr>
      <w:r>
        <w:rPr>
          <w:rFonts w:ascii="Times New Roman" w:cs="Times New Roman" w:eastAsia="Calibri" w:hAnsi="Times New Roman"/>
          <w:b/>
          <w:bCs/>
          <w:color w:val="000000"/>
          <w:sz w:val="20"/>
          <w:szCs w:val="20"/>
          <w:lang w:val="en-GB" w:eastAsia="zh-CN"/>
        </w:rPr>
        <w:t>Types:</w:t>
      </w:r>
    </w:p>
    <w:p>
      <w:pPr>
        <w:pStyle w:val="style0"/>
        <w:spacing w:before="240" w:after="0" w:lineRule="auto" w:line="240"/>
        <w:jc w:val="lowKashida"/>
        <w:rPr>
          <w:rFonts w:ascii="Times New Roman" w:cs="Times New Roman" w:eastAsia="Calibri" w:hAnsi="Times New Roman"/>
          <w:color w:val="000000"/>
          <w:sz w:val="20"/>
          <w:szCs w:val="20"/>
          <w:lang w:val="en-GB" w:eastAsia="zh-CN"/>
        </w:rPr>
      </w:pPr>
      <w:r>
        <w:rPr>
          <w:rFonts w:ascii="Times New Roman" w:cs="Times New Roman" w:eastAsia="Calibri" w:hAnsi="Times New Roman"/>
          <w:color w:val="000000"/>
          <w:sz w:val="20"/>
          <w:szCs w:val="20"/>
          <w:lang w:val="en-GB" w:eastAsia="zh-CN"/>
        </w:rPr>
        <w:t>Two methods exist for transdermal acupuncture catheterisation: drug-eluting bead-assisted TACE (DEB-TACE) and conventional TACE (</w:t>
      </w:r>
      <w:r>
        <w:rPr>
          <w:rFonts w:ascii="Times New Roman" w:cs="Times New Roman" w:eastAsia="Calibri" w:hAnsi="Times New Roman"/>
          <w:color w:val="000000"/>
          <w:sz w:val="20"/>
          <w:szCs w:val="20"/>
          <w:lang w:val="en-GB" w:eastAsia="zh-CN"/>
        </w:rPr>
        <w:t>cTACE</w:t>
      </w:r>
      <w:r>
        <w:rPr>
          <w:rFonts w:ascii="Times New Roman" w:cs="Times New Roman" w:eastAsia="Calibri" w:hAnsi="Times New Roman"/>
          <w:color w:val="000000"/>
          <w:sz w:val="20"/>
          <w:szCs w:val="20"/>
          <w:lang w:val="en-GB" w:eastAsia="zh-CN"/>
        </w:rPr>
        <w:t xml:space="preserve">). Lipiodol is an oily radio-opaque substance that serves as both a </w:t>
      </w:r>
      <w:r>
        <w:rPr>
          <w:rFonts w:ascii="Times New Roman" w:cs="Times New Roman" w:eastAsia="Calibri" w:hAnsi="Times New Roman"/>
          <w:color w:val="000000"/>
          <w:sz w:val="20"/>
          <w:szCs w:val="20"/>
          <w:lang w:val="en-GB" w:eastAsia="zh-CN"/>
        </w:rPr>
        <w:t xml:space="preserve">chemotherapeutic carrier and an embolic material in </w:t>
      </w:r>
      <w:r>
        <w:rPr>
          <w:rFonts w:ascii="Times New Roman" w:cs="Times New Roman" w:eastAsia="Calibri" w:hAnsi="Times New Roman"/>
          <w:color w:val="000000"/>
          <w:sz w:val="20"/>
          <w:szCs w:val="20"/>
          <w:lang w:val="en-GB" w:eastAsia="zh-CN"/>
        </w:rPr>
        <w:t>cTACE</w:t>
      </w:r>
      <w:r>
        <w:rPr>
          <w:rFonts w:ascii="Times New Roman" w:cs="Times New Roman" w:eastAsia="Calibri" w:hAnsi="Times New Roman"/>
          <w:color w:val="000000"/>
          <w:sz w:val="20"/>
          <w:szCs w:val="20"/>
          <w:lang w:val="en-GB" w:eastAsia="zh-CN"/>
        </w:rPr>
        <w:t xml:space="preserve">. The procedure begins with the administration of a cytotoxic drug such doxorubicin, </w:t>
      </w:r>
      <w:r>
        <w:rPr>
          <w:rFonts w:ascii="Times New Roman" w:cs="Times New Roman" w:eastAsia="Calibri" w:hAnsi="Times New Roman"/>
          <w:color w:val="000000"/>
          <w:sz w:val="20"/>
          <w:szCs w:val="20"/>
          <w:lang w:val="en-GB" w:eastAsia="zh-CN"/>
        </w:rPr>
        <w:t>epirubicin</w:t>
      </w:r>
      <w:r>
        <w:rPr>
          <w:rFonts w:ascii="Times New Roman" w:cs="Times New Roman" w:eastAsia="Calibri" w:hAnsi="Times New Roman"/>
          <w:color w:val="000000"/>
          <w:sz w:val="20"/>
          <w:szCs w:val="20"/>
          <w:lang w:val="en-GB" w:eastAsia="zh-CN"/>
        </w:rPr>
        <w:t>, mitomycin, or cisplatin. Collage, degradable starch microspheres (DSM), and gelatine sponge are among the other embolic agents that are often used. DEB-TACE is able to deliver chemotherapeutic medications in a sustained release form because it utilises non-resorbable embolic microspheres (25).</w:t>
      </w:r>
    </w:p>
    <w:p>
      <w:pPr>
        <w:pStyle w:val="style0"/>
        <w:spacing w:before="240" w:after="0" w:lineRule="auto" w:line="240"/>
        <w:jc w:val="lowKashida"/>
        <w:rPr>
          <w:rFonts w:ascii="Times New Roman" w:cs="Times New Roman" w:eastAsia="Calibri" w:hAnsi="Times New Roman"/>
          <w:b/>
          <w:bCs/>
          <w:color w:val="000000"/>
          <w:sz w:val="20"/>
          <w:szCs w:val="20"/>
          <w:lang w:val="en-GB" w:eastAsia="zh-CN"/>
        </w:rPr>
      </w:pPr>
      <w:r>
        <w:rPr>
          <w:rFonts w:ascii="Times New Roman" w:cs="Times New Roman" w:eastAsia="Calibri" w:hAnsi="Times New Roman"/>
          <w:b/>
          <w:bCs/>
          <w:color w:val="000000"/>
          <w:sz w:val="20"/>
          <w:szCs w:val="20"/>
          <w:lang w:val="en-GB" w:eastAsia="zh-CN"/>
        </w:rPr>
        <w:t>The following are the TACE criteria for the treatment of HCC:</w:t>
      </w:r>
    </w:p>
    <w:p>
      <w:pPr>
        <w:pStyle w:val="style0"/>
        <w:spacing w:before="240" w:after="0" w:lineRule="auto" w:line="240"/>
        <w:jc w:val="lowKashida"/>
        <w:rPr>
          <w:rFonts w:ascii="Times New Roman" w:cs="Times New Roman" w:eastAsia="Calibri" w:hAnsi="Times New Roman"/>
          <w:color w:val="000000"/>
          <w:sz w:val="20"/>
          <w:szCs w:val="20"/>
          <w:lang w:val="en-GB" w:eastAsia="zh-CN"/>
        </w:rPr>
      </w:pPr>
      <w:r>
        <w:rPr>
          <w:rFonts w:ascii="Times New Roman" w:cs="Times New Roman" w:eastAsia="Calibri" w:hAnsi="Times New Roman"/>
          <w:color w:val="000000"/>
          <w:sz w:val="20"/>
          <w:szCs w:val="20"/>
          <w:lang w:val="en-GB" w:eastAsia="zh-CN"/>
        </w:rPr>
        <w:t xml:space="preserve">Patients meeting the following criteria are eligible to participate: hepatocellular carcinoma (HCC) with one or more nodules, numerous </w:t>
      </w:r>
      <w:r>
        <w:rPr>
          <w:rFonts w:ascii="Times New Roman" w:cs="Times New Roman" w:eastAsia="Calibri" w:hAnsi="Times New Roman"/>
          <w:color w:val="000000"/>
          <w:sz w:val="20"/>
          <w:szCs w:val="20"/>
          <w:lang w:val="en-GB" w:eastAsia="zh-CN"/>
        </w:rPr>
        <w:t>bilobar</w:t>
      </w:r>
      <w:r>
        <w:rPr>
          <w:rFonts w:ascii="Times New Roman" w:cs="Times New Roman" w:eastAsia="Calibri" w:hAnsi="Times New Roman"/>
          <w:color w:val="000000"/>
          <w:sz w:val="20"/>
          <w:szCs w:val="20"/>
          <w:lang w:val="en-GB" w:eastAsia="zh-CN"/>
        </w:rPr>
        <w:t xml:space="preserve"> metastases, a tumour size more than 3 cm that cannot be treated with ablation, and the absence of vascular invasion or extrahepatic dissemination in the patient (26).</w:t>
      </w:r>
    </w:p>
    <w:p>
      <w:pPr>
        <w:pStyle w:val="style0"/>
        <w:spacing w:before="240" w:after="0" w:lineRule="auto" w:line="240"/>
        <w:jc w:val="lowKashida"/>
        <w:rPr>
          <w:rFonts w:ascii="Times New Roman" w:cs="Times New Roman" w:eastAsia="Calibri" w:hAnsi="Times New Roman"/>
          <w:color w:val="000000"/>
          <w:sz w:val="20"/>
          <w:szCs w:val="20"/>
          <w:lang w:val="en-GB" w:eastAsia="zh-CN"/>
        </w:rPr>
      </w:pPr>
      <w:r>
        <w:rPr>
          <w:rFonts w:ascii="Times New Roman" w:cs="Times New Roman" w:eastAsia="Calibri" w:hAnsi="Times New Roman"/>
          <w:color w:val="000000"/>
          <w:sz w:val="20"/>
          <w:szCs w:val="20"/>
          <w:lang w:val="en-GB" w:eastAsia="zh-CN"/>
        </w:rPr>
        <w:t xml:space="preserve">Patients with peripheral vascular diseases, intolerance or allergy to contrast agents, poor liver function tests, portal vein thrombosis, arterio-portal shunts, severe disability or terminal illness, </w:t>
      </w:r>
      <w:r>
        <w:rPr>
          <w:rFonts w:ascii="Times New Roman" w:cs="Times New Roman" w:eastAsia="Calibri" w:hAnsi="Times New Roman"/>
          <w:color w:val="000000"/>
          <w:sz w:val="20"/>
          <w:szCs w:val="20"/>
          <w:lang w:val="en-GB" w:eastAsia="zh-CN"/>
        </w:rPr>
        <w:t>hemorrhagic</w:t>
      </w:r>
      <w:r>
        <w:rPr>
          <w:rFonts w:ascii="Times New Roman" w:cs="Times New Roman" w:eastAsia="Calibri" w:hAnsi="Times New Roman"/>
          <w:color w:val="000000"/>
          <w:sz w:val="20"/>
          <w:szCs w:val="20"/>
          <w:lang w:val="en-GB" w:eastAsia="zh-CN"/>
        </w:rPr>
        <w:t xml:space="preserve"> diathesis (INR more than 1.4), extrahepatic metastasis, uncontrollable ascites, active </w:t>
      </w:r>
      <w:r>
        <w:rPr>
          <w:rFonts w:ascii="Times New Roman" w:cs="Times New Roman" w:eastAsia="Calibri" w:hAnsi="Times New Roman"/>
          <w:color w:val="000000"/>
          <w:sz w:val="20"/>
          <w:szCs w:val="20"/>
          <w:lang w:val="en-GB" w:eastAsia="zh-CN"/>
        </w:rPr>
        <w:t>esophageal</w:t>
      </w:r>
      <w:r>
        <w:rPr>
          <w:rFonts w:ascii="Times New Roman" w:cs="Times New Roman" w:eastAsia="Calibri" w:hAnsi="Times New Roman"/>
          <w:color w:val="000000"/>
          <w:sz w:val="20"/>
          <w:szCs w:val="20"/>
          <w:lang w:val="en-GB" w:eastAsia="zh-CN"/>
        </w:rPr>
        <w:t xml:space="preserve"> varices, and other general contraindications to angiography are all excluded (26).</w:t>
      </w:r>
    </w:p>
    <w:p>
      <w:pPr>
        <w:pStyle w:val="style0"/>
        <w:spacing w:before="240" w:after="0" w:lineRule="auto" w:line="240"/>
        <w:jc w:val="lowKashida"/>
        <w:rPr>
          <w:rFonts w:ascii="Times New Roman" w:cs="Times New Roman" w:eastAsia="Calibri" w:hAnsi="Times New Roman"/>
          <w:b/>
          <w:bCs/>
          <w:color w:val="000000"/>
          <w:sz w:val="20"/>
          <w:szCs w:val="20"/>
          <w:lang w:val="en-GB" w:eastAsia="zh-CN"/>
        </w:rPr>
      </w:pPr>
      <w:r>
        <w:rPr>
          <w:rFonts w:ascii="Times New Roman" w:cs="Times New Roman" w:eastAsia="Calibri" w:hAnsi="Times New Roman"/>
          <w:b/>
          <w:bCs/>
          <w:color w:val="000000"/>
          <w:sz w:val="20"/>
          <w:szCs w:val="20"/>
          <w:lang w:val="en-GB" w:eastAsia="zh-CN"/>
        </w:rPr>
        <w:t>To get ready for TACE, patients must:</w:t>
      </w:r>
    </w:p>
    <w:p>
      <w:pPr>
        <w:pStyle w:val="style0"/>
        <w:spacing w:before="240" w:after="0" w:lineRule="auto" w:line="240"/>
        <w:jc w:val="lowKashida"/>
        <w:rPr>
          <w:rFonts w:ascii="Times New Roman" w:cs="Times New Roman" w:eastAsia="Calibri" w:hAnsi="Times New Roman"/>
          <w:color w:val="000000"/>
          <w:sz w:val="20"/>
          <w:szCs w:val="20"/>
          <w:lang w:val="en-GB" w:eastAsia="zh-CN"/>
        </w:rPr>
      </w:pPr>
      <w:r>
        <w:rPr>
          <w:rFonts w:ascii="Times New Roman" w:cs="Times New Roman" w:eastAsia="Calibri" w:hAnsi="Times New Roman"/>
          <w:color w:val="000000"/>
          <w:sz w:val="20"/>
          <w:szCs w:val="20"/>
          <w:lang w:val="en-GB" w:eastAsia="zh-CN"/>
        </w:rPr>
        <w:t>Patients with a confirmed diagnosis of HCC, either single or multiple, are screened for the procedure through pre-procedural imaging using US, abdominal CT, or MRI. Prior investigations such as virology, hepatic function tests, renal function tests, CBC, PT, PTT, and INR are also considered. A thorough patient history, including medical, surgical, and personal details, is taken, and the procedure is explained in detail before consent is obtained. Patients with known allergies to contrast media are not considered (27).</w:t>
      </w:r>
    </w:p>
    <w:p>
      <w:pPr>
        <w:pStyle w:val="style0"/>
        <w:spacing w:before="240" w:after="0" w:lineRule="auto" w:line="240"/>
        <w:jc w:val="lowKashida"/>
        <w:rPr>
          <w:rFonts w:ascii="Times New Roman" w:cs="Times New Roman" w:eastAsia="Calibri" w:hAnsi="Times New Roman"/>
          <w:b/>
          <w:bCs/>
          <w:color w:val="000000"/>
          <w:sz w:val="20"/>
          <w:szCs w:val="20"/>
          <w:lang w:val="en-GB" w:eastAsia="zh-CN"/>
        </w:rPr>
      </w:pPr>
      <w:r>
        <w:rPr>
          <w:rFonts w:ascii="Times New Roman" w:cs="Times New Roman" w:eastAsia="Calibri" w:hAnsi="Times New Roman"/>
          <w:b/>
          <w:bCs/>
          <w:color w:val="000000"/>
          <w:sz w:val="20"/>
          <w:szCs w:val="20"/>
          <w:lang w:val="en-GB" w:eastAsia="zh-CN"/>
        </w:rPr>
        <w:t>Procedure</w:t>
      </w:r>
    </w:p>
    <w:p>
      <w:pPr>
        <w:pStyle w:val="style0"/>
        <w:spacing w:before="240" w:after="0" w:lineRule="auto" w:line="240"/>
        <w:jc w:val="lowKashida"/>
        <w:rPr>
          <w:rFonts w:ascii="Times New Roman" w:cs="Times New Roman" w:eastAsia="Calibri" w:hAnsi="Times New Roman"/>
          <w:color w:val="000000"/>
          <w:sz w:val="20"/>
          <w:szCs w:val="20"/>
          <w:rtl/>
          <w:lang w:val="en-GB" w:eastAsia="zh-CN"/>
        </w:rPr>
      </w:pPr>
      <w:r>
        <w:rPr>
          <w:rFonts w:ascii="Times New Roman" w:cs="Times New Roman" w:eastAsia="Calibri" w:hAnsi="Times New Roman"/>
          <w:color w:val="000000"/>
          <w:sz w:val="20"/>
          <w:szCs w:val="20"/>
          <w:lang w:val="en-GB" w:eastAsia="zh-CN"/>
        </w:rPr>
        <w:t xml:space="preserve">After administering local anaesthesia, the following steps are taken: the femoral artery is perforated using a single-needle </w:t>
      </w:r>
      <w:r>
        <w:rPr>
          <w:rFonts w:ascii="Times New Roman" w:cs="Times New Roman" w:eastAsia="Calibri" w:hAnsi="Times New Roman"/>
          <w:color w:val="000000"/>
          <w:sz w:val="20"/>
          <w:szCs w:val="20"/>
          <w:lang w:val="en-GB" w:eastAsia="zh-CN"/>
        </w:rPr>
        <w:t>Seldinger</w:t>
      </w:r>
      <w:r>
        <w:rPr>
          <w:rFonts w:ascii="Times New Roman" w:cs="Times New Roman" w:eastAsia="Calibri" w:hAnsi="Times New Roman"/>
          <w:color w:val="000000"/>
          <w:sz w:val="20"/>
          <w:szCs w:val="20"/>
          <w:lang w:val="en-GB" w:eastAsia="zh-CN"/>
        </w:rPr>
        <w:t xml:space="preserve"> technique; a 6-F angio-sheath is pushed into place; a cobra catheter is placed in the descending aorta using a Terumo guide wire; contrast agent is used to take </w:t>
      </w:r>
      <w:r>
        <w:rPr>
          <w:rFonts w:ascii="Times New Roman" w:cs="Times New Roman" w:eastAsia="Calibri" w:hAnsi="Times New Roman"/>
          <w:color w:val="000000"/>
          <w:sz w:val="20"/>
          <w:szCs w:val="20"/>
          <w:lang w:val="en-GB" w:eastAsia="zh-CN"/>
        </w:rPr>
        <w:t>cholec</w:t>
      </w:r>
      <w:r>
        <w:rPr>
          <w:rFonts w:ascii="Times New Roman" w:cs="Times New Roman" w:eastAsia="Calibri" w:hAnsi="Times New Roman"/>
          <w:color w:val="000000"/>
          <w:sz w:val="20"/>
          <w:szCs w:val="20"/>
          <w:lang w:val="en-GB" w:eastAsia="zh-CN"/>
        </w:rPr>
        <w:t xml:space="preserve"> and hepatic angiograms; a micro-catheter can be used for more localisation of the feeding </w:t>
      </w:r>
      <w:r>
        <w:rPr>
          <w:rFonts w:ascii="Times New Roman" w:cs="Times New Roman" w:eastAsia="Calibri" w:hAnsi="Times New Roman"/>
          <w:color w:val="000000"/>
          <w:sz w:val="20"/>
          <w:szCs w:val="20"/>
          <w:lang w:val="en-GB" w:eastAsia="zh-CN"/>
        </w:rPr>
        <w:t>arteries if available; finally, chemotherapy agents (doxorubicin, cisplatin, or a combination of the two) are injected to close the feeding arteries (28).</w:t>
      </w:r>
    </w:p>
    <w:p>
      <w:pPr>
        <w:pStyle w:val="style0"/>
        <w:spacing w:before="240" w:after="0" w:lineRule="auto" w:line="240"/>
        <w:jc w:val="lowKashida"/>
        <w:rPr>
          <w:rFonts w:ascii="Times New Roman" w:cs="Times New Roman" w:eastAsia="Calibri" w:hAnsi="Times New Roman"/>
          <w:b/>
          <w:bCs/>
          <w:color w:val="000000"/>
          <w:sz w:val="20"/>
          <w:szCs w:val="20"/>
          <w:lang w:val="en-GB" w:eastAsia="zh-CN"/>
        </w:rPr>
      </w:pPr>
      <w:r>
        <w:rPr>
          <w:rFonts w:ascii="Times New Roman" w:cs="Times New Roman" w:eastAsia="Calibri" w:hAnsi="Times New Roman"/>
          <w:b/>
          <w:bCs/>
          <w:color w:val="000000"/>
          <w:sz w:val="20"/>
          <w:szCs w:val="20"/>
          <w:lang w:val="en-GB" w:eastAsia="zh-CN"/>
        </w:rPr>
        <w:t xml:space="preserve"> The Child Pugh </w:t>
      </w:r>
      <w:r>
        <w:rPr>
          <w:rFonts w:ascii="Times New Roman" w:cs="Times New Roman" w:eastAsia="Calibri" w:hAnsi="Times New Roman"/>
          <w:b/>
          <w:bCs/>
          <w:color w:val="000000"/>
          <w:sz w:val="20"/>
          <w:szCs w:val="20"/>
          <w:lang w:val="en-US" w:eastAsia="zh-CN"/>
        </w:rPr>
        <w:t>scoring s</w:t>
      </w:r>
      <w:r>
        <w:rPr>
          <w:rFonts w:ascii="Times New Roman" w:cs="Times New Roman" w:eastAsia="Calibri" w:hAnsi="Times New Roman"/>
          <w:b/>
          <w:bCs/>
          <w:color w:val="000000"/>
          <w:sz w:val="20"/>
          <w:szCs w:val="20"/>
          <w:lang w:val="en-US" w:eastAsia="zh-CN"/>
        </w:rPr>
        <w:t>ystem :</w:t>
      </w:r>
    </w:p>
    <w:p>
      <w:pPr>
        <w:pStyle w:val="style0"/>
        <w:spacing w:before="240" w:after="0" w:lineRule="auto" w:line="240"/>
        <w:jc w:val="lowKashida"/>
        <w:rPr>
          <w:rFonts w:ascii="Times New Roman" w:cs="Times New Roman" w:eastAsia="Calibri" w:hAnsi="Times New Roman"/>
          <w:color w:val="000000"/>
          <w:sz w:val="20"/>
          <w:szCs w:val="20"/>
          <w:lang w:val="en-GB" w:eastAsia="zh-CN"/>
        </w:rPr>
      </w:pPr>
      <w:r>
        <w:rPr>
          <w:rFonts w:ascii="Times New Roman" w:cs="Times New Roman" w:eastAsia="Calibri" w:hAnsi="Times New Roman"/>
          <w:color w:val="000000"/>
          <w:sz w:val="20"/>
          <w:szCs w:val="20"/>
          <w:lang w:val="en-GB" w:eastAsia="zh-CN"/>
        </w:rPr>
        <w:t xml:space="preserve">For the purpose of predicting mortality in cirrhosis patients, the Child-Pugh scoring system was developed. This method is also known as the Child-Pugh-Turcotte score. In 1964, Child and Turcotte developed a system to classify patients into three groups: A, who </w:t>
      </w:r>
      <w:r>
        <w:rPr>
          <w:rFonts w:ascii="Times New Roman" w:cs="Times New Roman" w:eastAsia="Calibri" w:hAnsi="Times New Roman"/>
          <w:color w:val="000000"/>
          <w:sz w:val="20"/>
          <w:szCs w:val="20"/>
          <w:lang w:val="en-GB" w:eastAsia="zh-CN"/>
        </w:rPr>
        <w:t>had good hepatic function, B, who had moderately impaired hepatic function, and C, who had advanced hepatic dysfunction. This system was used to select patients who would benefit from elective surgery for portal decompression. A patient's clinical nutrition status, ascites, serum bilirubin and albumin levels, neurological disease, and ascites were the five clinical and laboratory criteria that initially comprised their grading system. Subsequently, Pugh et al. adjusted the scoring method by replacing clinical nutrition status with prothrombin time (29).</w:t>
      </w:r>
    </w:p>
    <w:p>
      <w:pPr>
        <w:pStyle w:val="style0"/>
        <w:spacing w:before="240" w:after="0" w:lineRule="auto" w:line="240"/>
        <w:ind w:firstLine="720"/>
        <w:jc w:val="center"/>
        <w:rPr>
          <w:rFonts w:ascii="Times New Roman" w:cs="Times New Roman" w:eastAsia="AdvOT678fd422" w:hAnsi="Times New Roman"/>
          <w:color w:val="000000"/>
          <w:sz w:val="20"/>
          <w:szCs w:val="20"/>
          <w:lang w:bidi="ar-EG"/>
        </w:rPr>
        <w:sectPr>
          <w:type w:val="continuous"/>
          <w:pgSz w:w="11906" w:h="16838" w:orient="portrait" w:code="9"/>
          <w:pgMar w:top="1440" w:right="1800" w:bottom="1440" w:left="1800" w:header="720" w:footer="720" w:gutter="0"/>
          <w:cols w:space="720" w:num="2"/>
          <w:docGrid w:linePitch="360"/>
        </w:sectPr>
      </w:pPr>
    </w:p>
    <w:p>
      <w:pPr>
        <w:pStyle w:val="style0"/>
        <w:spacing w:before="240" w:after="0" w:lineRule="auto" w:line="240"/>
        <w:ind w:firstLine="720"/>
        <w:rPr>
          <w:rFonts w:ascii="Times New Roman" w:cs="Times New Roman" w:eastAsia="AdvOT678fd422" w:hAnsi="Times New Roman"/>
          <w:color w:val="000000"/>
          <w:sz w:val="20"/>
          <w:szCs w:val="20"/>
          <w:lang w:bidi="ar-EG"/>
        </w:rPr>
      </w:pPr>
      <w:r>
        <w:rPr>
          <w:rFonts w:ascii="Times New Roman" w:cs="Times New Roman" w:eastAsia="AdvOT678fd422" w:hAnsi="Times New Roman"/>
          <w:b/>
          <w:bCs/>
          <w:noProof/>
          <w:color w:val="000000"/>
          <w:sz w:val="20"/>
          <w:szCs w:val="20"/>
          <w:u w:val="single"/>
          <w:lang w:bidi="ar-EG"/>
        </w:rPr>
        <w:drawing>
          <wp:inline distL="0" distT="0" distB="0" distR="0">
            <wp:extent cx="4761697" cy="1923382"/>
            <wp:effectExtent l="0" t="0" r="1270" b="1270"/>
            <wp:docPr id="102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4761697" cy="1923382"/>
                    </a:xfrm>
                    <a:prstGeom prst="rect"/>
                  </pic:spPr>
                </pic:pic>
              </a:graphicData>
            </a:graphic>
          </wp:inline>
        </w:drawing>
      </w:r>
    </w:p>
    <w:bookmarkStart w:id="0" w:name="_Toc175215988"/>
    <w:p>
      <w:pPr>
        <w:pStyle w:val="style0"/>
        <w:spacing w:before="240" w:after="0" w:lineRule="auto" w:line="240"/>
        <w:ind w:firstLine="720"/>
        <w:jc w:val="center"/>
        <w:rPr>
          <w:rFonts w:ascii="Times New Roman" w:cs="Times New Roman" w:eastAsia="AdvOT678fd422" w:hAnsi="Times New Roman"/>
          <w:color w:val="000000"/>
          <w:sz w:val="20"/>
          <w:szCs w:val="20"/>
          <w:lang w:bidi="ar-EG"/>
        </w:rPr>
      </w:pPr>
      <w:r>
        <w:rPr>
          <w:rFonts w:ascii="Times New Roman" w:cs="Times New Roman" w:eastAsia="AdvOT678fd422" w:hAnsi="Times New Roman"/>
          <w:b/>
          <w:bCs/>
          <w:color w:val="000000"/>
          <w:sz w:val="20"/>
          <w:szCs w:val="20"/>
          <w:lang w:bidi="ar-EG"/>
        </w:rPr>
        <w:t xml:space="preserve">Fig 1: </w:t>
      </w:r>
      <w:r>
        <w:rPr>
          <w:rFonts w:ascii="Times New Roman" w:cs="Times New Roman" w:eastAsia="AdvOT678fd422" w:hAnsi="Times New Roman"/>
          <w:b/>
          <w:bCs/>
          <w:color w:val="000000"/>
          <w:sz w:val="20"/>
          <w:szCs w:val="20"/>
          <w:lang w:bidi="ar-EG"/>
        </w:rPr>
        <w:t>Using the Child-Pugh scale</w:t>
      </w:r>
      <w:r>
        <w:rPr>
          <w:rFonts w:ascii="Times New Roman" w:cs="Times New Roman" w:eastAsia="AdvOT678fd422" w:hAnsi="Times New Roman"/>
          <w:b/>
          <w:bCs/>
          <w:color w:val="000000"/>
          <w:sz w:val="20"/>
          <w:szCs w:val="20"/>
          <w:lang w:bidi="ar-EG"/>
        </w:rPr>
        <w:t xml:space="preserve"> </w:t>
      </w:r>
      <w:r>
        <w:rPr>
          <w:rFonts w:ascii="Times New Roman" w:cs="Times New Roman" w:eastAsia="AdvOT678fd422" w:hAnsi="Times New Roman"/>
          <w:b/>
          <w:bCs/>
          <w:color w:val="000000"/>
          <w:sz w:val="20"/>
          <w:szCs w:val="20"/>
          <w:lang w:bidi="ar-EG"/>
        </w:rPr>
        <w:fldChar w:fldCharType="begin"/>
      </w:r>
      <w:r>
        <w:rPr>
          <w:rFonts w:ascii="Times New Roman" w:cs="Times New Roman" w:eastAsia="AdvOT678fd422" w:hAnsi="Times New Roman"/>
          <w:b/>
          <w:bCs/>
          <w:color w:val="000000"/>
          <w:sz w:val="20"/>
          <w:szCs w:val="20"/>
          <w:lang w:bidi="ar-EG"/>
        </w:rPr>
        <w:instrText xml:space="preserve"> ADDIN EN.CITE &lt;EndNote&gt;&lt;Cite&gt;&lt;Author&gt;Chernyak&lt;/Author&gt;&lt;Year&gt;2018&lt;/Year&gt;&lt;RecNum&gt;183&lt;/RecNum&gt;&lt;DisplayText&gt;&lt;style face="bold italic"&gt;(Chernyak et al., 2018)&lt;/style&gt;&lt;/DisplayText&gt;&lt;record&gt;&lt;rec-number&gt;183&lt;/rec-number&gt;&lt;foreign-keys&gt;&lt;key app="EN" db-id="a9ses5vt7wvxz0erwv555er0pftpssdt22t0" timestamp="1723500187"&gt;183&lt;/key&gt;&lt;/foreign-keys&gt;&lt;ref-type name="Journal Article"&gt;17&lt;/ref-type&gt;&lt;contributors&gt;&lt;authors&gt;&lt;author&gt;Chernyak, Victoria&lt;/author&gt;&lt;author&gt;Fowler, Kathryn J.&lt;/author&gt;&lt;author&gt;Kamaya, Aya&lt;/author&gt;&lt;author&gt;Kielar, Ania Z.&lt;/author&gt;&lt;author&gt;Elsayes, Khaled M.&lt;/author&gt;&lt;author&gt;Bashir, Mustafa R.&lt;/author&gt;&lt;author&gt;Kono, Yuko&lt;/author&gt;&lt;author&gt;Do, Richard K.&lt;/author&gt;&lt;author&gt;Mitchell, Donald G.&lt;/author&gt;&lt;author&gt;Singal, Amit G.&lt;/author&gt;&lt;author&gt;Tang, An&lt;/author&gt;&lt;author&gt;Sirlin, Claude B.&lt;/author&gt;&lt;/authors&gt;&lt;/contributors&gt;&lt;titles&gt;&lt;title&gt;Liver Imaging Reporting and Data System (LI-RADS) Version 2018: Imaging of Hepatocellular Carcinoma in At-Risk Patients&lt;/title&gt;&lt;secondary-title&gt;Radiology&lt;/secondary-title&gt;&lt;/titles&gt;&lt;periodical&gt;&lt;full-title&gt;Radiology&lt;/full-title&gt;&lt;/periodical&gt;&lt;pages&gt;816-830&lt;/pages&gt;&lt;volume&gt;289&lt;/volume&gt;&lt;number&gt;3&lt;/number&gt;&lt;dates&gt;&lt;year&gt;2018&lt;/year&gt;&lt;/dates&gt;&lt;accession-num&gt;30251931&lt;/accession-num&gt;&lt;urls&gt;&lt;related-urls&gt;&lt;url&gt;https://pubs.rsna.org/doi/abs/10.1148/radiol.2018181494&lt;/url&gt;&lt;/related-urls&gt;&lt;/urls&gt;&lt;electronic-resource-num&gt;10.1148/radiol.2018181494&lt;/electronic-resource-num&gt;&lt;/record&gt;&lt;/Cite&gt;&lt;/EndNote&gt;</w:instrText>
      </w:r>
      <w:r>
        <w:rPr>
          <w:rFonts w:ascii="Times New Roman" w:cs="Times New Roman" w:eastAsia="AdvOT678fd422" w:hAnsi="Times New Roman"/>
          <w:b/>
          <w:bCs/>
          <w:color w:val="000000"/>
          <w:sz w:val="20"/>
          <w:szCs w:val="20"/>
          <w:lang w:bidi="ar-EG"/>
        </w:rPr>
        <w:fldChar w:fldCharType="separate"/>
      </w:r>
      <w:r>
        <w:rPr>
          <w:rFonts w:ascii="Times New Roman" w:cs="Times New Roman" w:eastAsia="AdvOT678fd422" w:hAnsi="Times New Roman"/>
          <w:b/>
          <w:bCs/>
          <w:i/>
          <w:color w:val="000000"/>
          <w:sz w:val="20"/>
          <w:szCs w:val="20"/>
          <w:lang w:bidi="ar-EG"/>
        </w:rPr>
        <w:t>(</w:t>
      </w:r>
      <w:r>
        <w:rPr>
          <w:rFonts w:ascii="Times New Roman" w:cs="Times New Roman" w:eastAsia="AdvOT678fd422" w:hAnsi="Times New Roman"/>
          <w:b/>
          <w:bCs/>
          <w:i/>
          <w:color w:val="000000"/>
          <w:sz w:val="20"/>
          <w:szCs w:val="20"/>
          <w:lang w:bidi="ar-EG"/>
        </w:rPr>
        <w:t>30</w:t>
      </w:r>
      <w:r>
        <w:rPr>
          <w:rFonts w:ascii="Times New Roman" w:cs="Times New Roman" w:eastAsia="AdvOT678fd422" w:hAnsi="Times New Roman"/>
          <w:b/>
          <w:bCs/>
          <w:i/>
          <w:color w:val="000000"/>
          <w:sz w:val="20"/>
          <w:szCs w:val="20"/>
          <w:lang w:bidi="ar-EG"/>
        </w:rPr>
        <w:t>)</w:t>
      </w:r>
      <w:bookmarkEnd w:id="0"/>
      <w:r>
        <w:rPr>
          <w:rFonts w:ascii="Times New Roman" w:cs="Times New Roman" w:eastAsia="AdvOT678fd422" w:hAnsi="Times New Roman"/>
          <w:color w:val="000000"/>
          <w:sz w:val="20"/>
          <w:szCs w:val="20"/>
          <w:lang w:bidi="ar-EG"/>
        </w:rPr>
        <w:fldChar w:fldCharType="end"/>
      </w:r>
    </w:p>
    <w:p>
      <w:pPr>
        <w:pStyle w:val="style4100"/>
        <w:spacing w:after="0" w:lineRule="auto" w:line="240"/>
        <w:jc w:val="lowKashida"/>
        <w:rPr>
          <w:sz w:val="20"/>
          <w:szCs w:val="20"/>
          <w:rtl/>
        </w:rPr>
      </w:pPr>
    </w:p>
    <w:p>
      <w:pPr>
        <w:pStyle w:val="style4100"/>
        <w:spacing w:after="0" w:lineRule="auto" w:line="240"/>
        <w:jc w:val="lowKashida"/>
        <w:rPr>
          <w:sz w:val="20"/>
          <w:szCs w:val="20"/>
        </w:rPr>
        <w:sectPr>
          <w:type w:val="continuous"/>
          <w:pgSz w:w="11906" w:h="16838" w:orient="portrait" w:code="9"/>
          <w:pgMar w:top="1440" w:right="1800" w:bottom="1440" w:left="1800" w:header="720" w:footer="720" w:gutter="0"/>
          <w:cols w:space="720"/>
          <w:docGrid w:linePitch="360"/>
        </w:sectPr>
      </w:pPr>
    </w:p>
    <w:p>
      <w:pPr>
        <w:pStyle w:val="style4100"/>
        <w:spacing w:after="0" w:lineRule="auto" w:line="240"/>
        <w:jc w:val="lowKashida"/>
        <w:rPr>
          <w:sz w:val="20"/>
          <w:szCs w:val="20"/>
        </w:rPr>
      </w:pPr>
      <w:r>
        <w:rPr>
          <w:sz w:val="20"/>
          <w:szCs w:val="20"/>
        </w:rPr>
        <w:t>5</w:t>
      </w:r>
      <w:r>
        <w:rPr>
          <w:sz w:val="20"/>
          <w:szCs w:val="20"/>
        </w:rPr>
        <w:t>. Conclusion</w:t>
      </w:r>
    </w:p>
    <w:p>
      <w:pPr>
        <w:pStyle w:val="style4100"/>
        <w:spacing w:after="0" w:lineRule="auto" w:line="240"/>
        <w:jc w:val="lowKashida"/>
        <w:rPr>
          <w:b w:val="false"/>
          <w:sz w:val="20"/>
          <w:szCs w:val="20"/>
          <w:lang w:val="en-US"/>
        </w:rPr>
      </w:pPr>
      <w:r>
        <w:rPr>
          <w:b w:val="false"/>
          <w:sz w:val="20"/>
          <w:szCs w:val="20"/>
          <w:lang w:val="en-US"/>
        </w:rPr>
        <w:t xml:space="preserve">With a 60% complete response rate, the trial proved that TACE is a very successful treatment for early-stage hepatocellular carcinoma patients with Child-Pugh Grade A who are unable to undergo surgery. Importantly, the research found that a good prognosis after TACE is strongly predicted by a lower </w:t>
      </w:r>
      <w:r>
        <w:rPr>
          <w:b w:val="false"/>
          <w:sz w:val="20"/>
          <w:szCs w:val="20"/>
          <w:lang w:val="en-US"/>
        </w:rPr>
        <w:t>tumour</w:t>
      </w:r>
      <w:r>
        <w:rPr>
          <w:b w:val="false"/>
          <w:sz w:val="20"/>
          <w:szCs w:val="20"/>
          <w:lang w:val="en-US"/>
        </w:rPr>
        <w:t xml:space="preserve"> size, the lack of an expanded belly, and ultrasonography homogeneity. In order to </w:t>
      </w:r>
      <w:r>
        <w:rPr>
          <w:b w:val="false"/>
          <w:sz w:val="20"/>
          <w:szCs w:val="20"/>
          <w:lang w:val="en-US"/>
        </w:rPr>
        <w:t>optimise</w:t>
      </w:r>
      <w:r>
        <w:rPr>
          <w:b w:val="false"/>
          <w:sz w:val="20"/>
          <w:szCs w:val="20"/>
          <w:lang w:val="en-US"/>
        </w:rPr>
        <w:t xml:space="preserve"> patient selection and improve clinical results for HCC patients, it is crucial to consider </w:t>
      </w:r>
      <w:r>
        <w:rPr>
          <w:b w:val="false"/>
          <w:sz w:val="20"/>
          <w:szCs w:val="20"/>
          <w:lang w:val="en-US"/>
        </w:rPr>
        <w:t>tumour</w:t>
      </w:r>
      <w:r>
        <w:rPr>
          <w:b w:val="false"/>
          <w:sz w:val="20"/>
          <w:szCs w:val="20"/>
          <w:lang w:val="en-US"/>
        </w:rPr>
        <w:t xml:space="preserve"> features and clinical presentation when predicting TACE outcomes.</w:t>
      </w:r>
    </w:p>
    <w:p>
      <w:pPr>
        <w:pStyle w:val="style4100"/>
        <w:spacing w:after="0" w:lineRule="auto" w:line="240"/>
        <w:jc w:val="lowKashida"/>
        <w:rPr>
          <w:sz w:val="20"/>
          <w:szCs w:val="20"/>
        </w:rPr>
      </w:pPr>
      <w:r>
        <w:rPr>
          <w:sz w:val="20"/>
          <w:szCs w:val="20"/>
        </w:rPr>
        <w:t>6.</w:t>
      </w:r>
      <w:r>
        <w:rPr>
          <w:sz w:val="20"/>
          <w:szCs w:val="20"/>
        </w:rPr>
        <w:t xml:space="preserve"> </w:t>
      </w:r>
      <w:r>
        <w:rPr>
          <w:sz w:val="20"/>
          <w:szCs w:val="20"/>
        </w:rPr>
        <w:t>References</w:t>
      </w:r>
    </w:p>
    <w:p>
      <w:pPr>
        <w:pStyle w:val="style0"/>
        <w:numPr>
          <w:ilvl w:val="0"/>
          <w:numId w:val="1"/>
        </w:numPr>
        <w:spacing w:before="240" w:after="0" w:lineRule="auto" w:line="240"/>
        <w:jc w:val="lowKashida"/>
        <w:rPr>
          <w:rFonts w:ascii="Times New Roman" w:cs="Times New Roman" w:eastAsia="Times New Roman" w:hAnsi="Times New Roman"/>
          <w:noProof/>
          <w:sz w:val="20"/>
          <w:szCs w:val="20"/>
          <w:rtl/>
          <w:lang w:bidi="ar-EG"/>
        </w:rPr>
      </w:pPr>
      <w:r>
        <w:rPr>
          <w:rFonts w:ascii="Times New Roman" w:cs="Times New Roman" w:eastAsia="Times New Roman" w:hAnsi="Times New Roman"/>
          <w:b/>
          <w:noProof/>
          <w:sz w:val="20"/>
          <w:szCs w:val="20"/>
          <w:lang w:bidi="ar-EG"/>
        </w:rPr>
        <w:t xml:space="preserve">Parkin, D. M., Bray, F., Ferlay, J. &amp; Pisani, P. </w:t>
      </w:r>
      <w:r>
        <w:rPr>
          <w:rFonts w:ascii="Times New Roman" w:cs="Times New Roman" w:eastAsia="Times New Roman" w:hAnsi="Times New Roman"/>
          <w:noProof/>
          <w:sz w:val="20"/>
          <w:szCs w:val="20"/>
          <w:lang w:bidi="ar-EG"/>
        </w:rPr>
        <w:t xml:space="preserve">2001. Estimating the world cancer burden: Globocan 2000. </w:t>
      </w:r>
      <w:r>
        <w:rPr>
          <w:rFonts w:ascii="Times New Roman" w:cs="Times New Roman" w:eastAsia="Times New Roman" w:hAnsi="Times New Roman"/>
          <w:i/>
          <w:noProof/>
          <w:sz w:val="20"/>
          <w:szCs w:val="20"/>
          <w:lang w:bidi="ar-EG"/>
        </w:rPr>
        <w:t>Int J Cancer,</w:t>
      </w:r>
      <w:r>
        <w:rPr>
          <w:rFonts w:ascii="Times New Roman" w:cs="Times New Roman" w:eastAsia="Times New Roman" w:hAnsi="Times New Roman"/>
          <w:noProof/>
          <w:sz w:val="20"/>
          <w:szCs w:val="20"/>
          <w:lang w:bidi="ar-EG"/>
        </w:rPr>
        <w:t xml:space="preserve"> 94</w:t>
      </w:r>
      <w:r>
        <w:rPr>
          <w:rFonts w:ascii="Times New Roman" w:cs="Times New Roman" w:eastAsia="Times New Roman" w:hAnsi="Times New Roman"/>
          <w:b/>
          <w:noProof/>
          <w:sz w:val="20"/>
          <w:szCs w:val="20"/>
          <w:lang w:bidi="ar-EG"/>
        </w:rPr>
        <w:t>,</w:t>
      </w:r>
      <w:r>
        <w:rPr>
          <w:rFonts w:ascii="Times New Roman" w:cs="Times New Roman" w:eastAsia="Times New Roman" w:hAnsi="Times New Roman"/>
          <w:noProof/>
          <w:sz w:val="20"/>
          <w:szCs w:val="20"/>
          <w:lang w:bidi="ar-EG"/>
        </w:rPr>
        <w:t xml:space="preserve"> 153-6</w:t>
      </w:r>
      <w:r>
        <w:rPr>
          <w:rFonts w:ascii="Times New Roman" w:cs="Times New Roman" w:eastAsia="Times New Roman" w:hAnsi="Times New Roman"/>
          <w:noProof/>
          <w:sz w:val="20"/>
          <w:szCs w:val="20"/>
          <w:rtl/>
          <w:lang w:bidi="ar-EG"/>
        </w:rPr>
        <w:t>.</w:t>
      </w:r>
    </w:p>
    <w:p>
      <w:pPr>
        <w:pStyle w:val="style0"/>
        <w:numPr>
          <w:ilvl w:val="0"/>
          <w:numId w:val="1"/>
        </w:numPr>
        <w:spacing w:before="240" w:after="0" w:lineRule="auto" w:line="240"/>
        <w:jc w:val="lowKashida"/>
        <w:rPr>
          <w:rFonts w:ascii="Times New Roman" w:cs="Times New Roman" w:eastAsia="Times New Roman" w:hAnsi="Times New Roman"/>
          <w:noProof/>
          <w:sz w:val="20"/>
          <w:szCs w:val="20"/>
          <w:rtl/>
          <w:lang w:bidi="ar-EG"/>
        </w:rPr>
      </w:pPr>
      <w:r>
        <w:rPr>
          <w:rFonts w:ascii="Times New Roman" w:cs="Times New Roman" w:eastAsia="Times New Roman" w:hAnsi="Times New Roman"/>
          <w:b/>
          <w:noProof/>
          <w:sz w:val="20"/>
          <w:szCs w:val="20"/>
          <w:lang w:bidi="ar-EG"/>
        </w:rPr>
        <w:t xml:space="preserve">Llovet, J. M., Fuster, J. &amp; Bruix, J. </w:t>
      </w:r>
      <w:r>
        <w:rPr>
          <w:rFonts w:ascii="Times New Roman" w:cs="Times New Roman" w:eastAsia="Times New Roman" w:hAnsi="Times New Roman"/>
          <w:noProof/>
          <w:sz w:val="20"/>
          <w:szCs w:val="20"/>
          <w:lang w:bidi="ar-EG"/>
        </w:rPr>
        <w:t xml:space="preserve">2004. The Barcelona approach: diagnosis, staging, and treatment of </w:t>
      </w:r>
      <w:r>
        <w:rPr>
          <w:rFonts w:ascii="Times New Roman" w:cs="Times New Roman" w:eastAsia="Times New Roman" w:hAnsi="Times New Roman"/>
          <w:noProof/>
          <w:sz w:val="20"/>
          <w:szCs w:val="20"/>
          <w:lang w:bidi="ar-EG"/>
        </w:rPr>
        <w:t xml:space="preserve">hepatocellular carcinoma. </w:t>
      </w:r>
      <w:r>
        <w:rPr>
          <w:rFonts w:ascii="Times New Roman" w:cs="Times New Roman" w:eastAsia="Times New Roman" w:hAnsi="Times New Roman"/>
          <w:i/>
          <w:noProof/>
          <w:sz w:val="20"/>
          <w:szCs w:val="20"/>
          <w:lang w:bidi="ar-EG"/>
        </w:rPr>
        <w:t>Liver Transpl,</w:t>
      </w:r>
      <w:r>
        <w:rPr>
          <w:rFonts w:ascii="Times New Roman" w:cs="Times New Roman" w:eastAsia="Times New Roman" w:hAnsi="Times New Roman"/>
          <w:noProof/>
          <w:sz w:val="20"/>
          <w:szCs w:val="20"/>
          <w:lang w:bidi="ar-EG"/>
        </w:rPr>
        <w:t xml:space="preserve"> 10</w:t>
      </w:r>
      <w:r>
        <w:rPr>
          <w:rFonts w:ascii="Times New Roman" w:cs="Times New Roman" w:eastAsia="Times New Roman" w:hAnsi="Times New Roman"/>
          <w:b/>
          <w:noProof/>
          <w:sz w:val="20"/>
          <w:szCs w:val="20"/>
          <w:lang w:bidi="ar-EG"/>
        </w:rPr>
        <w:t>,</w:t>
      </w:r>
      <w:r>
        <w:rPr>
          <w:rFonts w:ascii="Times New Roman" w:cs="Times New Roman" w:eastAsia="Times New Roman" w:hAnsi="Times New Roman"/>
          <w:noProof/>
          <w:sz w:val="20"/>
          <w:szCs w:val="20"/>
          <w:lang w:bidi="ar-EG"/>
        </w:rPr>
        <w:t xml:space="preserve"> S115-20</w:t>
      </w:r>
      <w:r>
        <w:rPr>
          <w:rFonts w:ascii="Times New Roman" w:cs="Times New Roman" w:eastAsia="Times New Roman" w:hAnsi="Times New Roman"/>
          <w:noProof/>
          <w:sz w:val="20"/>
          <w:szCs w:val="20"/>
          <w:rtl/>
          <w:lang w:bidi="ar-EG"/>
        </w:rPr>
        <w:t>.</w:t>
      </w:r>
    </w:p>
    <w:p>
      <w:pPr>
        <w:pStyle w:val="style0"/>
        <w:numPr>
          <w:ilvl w:val="0"/>
          <w:numId w:val="1"/>
        </w:numPr>
        <w:spacing w:before="240" w:after="0" w:lineRule="auto" w:line="240"/>
        <w:jc w:val="lowKashida"/>
        <w:rPr>
          <w:rFonts w:ascii="Times New Roman" w:cs="Times New Roman" w:eastAsia="Times New Roman" w:hAnsi="Times New Roman"/>
          <w:noProof/>
          <w:sz w:val="20"/>
          <w:szCs w:val="20"/>
          <w:rtl/>
          <w:lang w:bidi="ar-EG"/>
        </w:rPr>
      </w:pPr>
      <w:r>
        <w:rPr>
          <w:rFonts w:ascii="Times New Roman" w:cs="Times New Roman" w:eastAsia="Times New Roman" w:hAnsi="Times New Roman"/>
          <w:b/>
          <w:noProof/>
          <w:sz w:val="20"/>
          <w:szCs w:val="20"/>
          <w:lang w:bidi="ar-EG"/>
        </w:rPr>
        <w:t>Llovet, J. M., Real, M</w:t>
      </w:r>
      <w:r>
        <w:rPr>
          <w:rFonts w:ascii="Times New Roman" w:cs="Times New Roman" w:eastAsia="Times New Roman" w:hAnsi="Times New Roman"/>
          <w:b/>
          <w:noProof/>
          <w:sz w:val="20"/>
          <w:szCs w:val="20"/>
          <w:rtl/>
          <w:lang w:bidi="ar-EG"/>
        </w:rPr>
        <w:t xml:space="preserve">. </w:t>
      </w:r>
      <w:r>
        <w:rPr>
          <w:rFonts w:ascii="Times New Roman" w:cs="Times New Roman" w:eastAsia="Times New Roman" w:hAnsi="Times New Roman"/>
          <w:b/>
          <w:noProof/>
          <w:sz w:val="20"/>
          <w:szCs w:val="20"/>
          <w:lang w:bidi="ar-EG"/>
        </w:rPr>
        <w:t xml:space="preserve">I., Montaña, X., Planas, R., Coll, S., Aponte, J., et al. </w:t>
      </w:r>
      <w:r>
        <w:rPr>
          <w:rFonts w:ascii="Times New Roman" w:cs="Times New Roman" w:eastAsia="Times New Roman" w:hAnsi="Times New Roman"/>
          <w:noProof/>
          <w:sz w:val="20"/>
          <w:szCs w:val="20"/>
          <w:lang w:bidi="ar-EG"/>
        </w:rPr>
        <w:t xml:space="preserve">2002. Arterial embolisation or chemoembolisation versus symptomatic treatment in patients with unresectable hepatocellular carcinoma: a randomised controlled trial. </w:t>
      </w:r>
      <w:r>
        <w:rPr>
          <w:rFonts w:ascii="Times New Roman" w:cs="Times New Roman" w:eastAsia="Times New Roman" w:hAnsi="Times New Roman"/>
          <w:i/>
          <w:noProof/>
          <w:sz w:val="20"/>
          <w:szCs w:val="20"/>
          <w:lang w:val="it-IT" w:bidi="ar-EG"/>
        </w:rPr>
        <w:t>Lancet,</w:t>
      </w:r>
      <w:r>
        <w:rPr>
          <w:rFonts w:ascii="Times New Roman" w:cs="Times New Roman" w:eastAsia="Times New Roman" w:hAnsi="Times New Roman"/>
          <w:noProof/>
          <w:sz w:val="20"/>
          <w:szCs w:val="20"/>
          <w:lang w:val="it-IT" w:bidi="ar-EG"/>
        </w:rPr>
        <w:t xml:space="preserve"> 359</w:t>
      </w:r>
      <w:r>
        <w:rPr>
          <w:rFonts w:ascii="Times New Roman" w:cs="Times New Roman" w:eastAsia="Times New Roman" w:hAnsi="Times New Roman"/>
          <w:b/>
          <w:noProof/>
          <w:sz w:val="20"/>
          <w:szCs w:val="20"/>
          <w:lang w:val="it-IT" w:bidi="ar-EG"/>
        </w:rPr>
        <w:t>,</w:t>
      </w:r>
      <w:r>
        <w:rPr>
          <w:rFonts w:ascii="Times New Roman" w:cs="Times New Roman" w:eastAsia="Times New Roman" w:hAnsi="Times New Roman"/>
          <w:noProof/>
          <w:sz w:val="20"/>
          <w:szCs w:val="20"/>
          <w:lang w:val="it-IT" w:bidi="ar-EG"/>
        </w:rPr>
        <w:t xml:space="preserve"> 1734-9</w:t>
      </w:r>
      <w:r>
        <w:rPr>
          <w:rFonts w:ascii="Times New Roman" w:cs="Times New Roman" w:eastAsia="Times New Roman" w:hAnsi="Times New Roman"/>
          <w:noProof/>
          <w:sz w:val="20"/>
          <w:szCs w:val="20"/>
          <w:rtl/>
          <w:lang w:bidi="ar-EG"/>
        </w:rPr>
        <w:t>.</w:t>
      </w:r>
    </w:p>
    <w:p>
      <w:pPr>
        <w:pStyle w:val="style0"/>
        <w:numPr>
          <w:ilvl w:val="0"/>
          <w:numId w:val="1"/>
        </w:numPr>
        <w:spacing w:before="240" w:after="0" w:lineRule="auto" w:line="240"/>
        <w:jc w:val="lowKashida"/>
        <w:rPr>
          <w:rFonts w:ascii="Times New Roman" w:cs="Times New Roman" w:eastAsia="Times New Roman" w:hAnsi="Times New Roman"/>
          <w:noProof/>
          <w:sz w:val="20"/>
          <w:szCs w:val="20"/>
          <w:rtl/>
          <w:lang w:bidi="ar-EG"/>
        </w:rPr>
      </w:pPr>
      <w:r>
        <w:rPr>
          <w:rFonts w:ascii="Times New Roman" w:cs="Times New Roman" w:eastAsia="Times New Roman" w:hAnsi="Times New Roman"/>
          <w:b/>
          <w:noProof/>
          <w:sz w:val="20"/>
          <w:szCs w:val="20"/>
          <w:lang w:bidi="ar-EG"/>
        </w:rPr>
        <w:t xml:space="preserve">Raoul, J. L., Forner, A., Bolondi, L., Cheung, T. T., Kloeckner, R. &amp; de Baere, T. </w:t>
      </w:r>
      <w:r>
        <w:rPr>
          <w:rFonts w:ascii="Times New Roman" w:cs="Times New Roman" w:eastAsia="Times New Roman" w:hAnsi="Times New Roman"/>
          <w:noProof/>
          <w:sz w:val="20"/>
          <w:szCs w:val="20"/>
          <w:lang w:bidi="ar-EG"/>
        </w:rPr>
        <w:t xml:space="preserve">2019. Updated use of TACE for hepatocellular carcinoma treatment: How and when to use it based on clinical evidence. </w:t>
      </w:r>
      <w:r>
        <w:rPr>
          <w:rFonts w:ascii="Times New Roman" w:cs="Times New Roman" w:eastAsia="Times New Roman" w:hAnsi="Times New Roman"/>
          <w:i/>
          <w:noProof/>
          <w:sz w:val="20"/>
          <w:szCs w:val="20"/>
          <w:lang w:bidi="ar-EG"/>
        </w:rPr>
        <w:t>Cancer Treat Rev,</w:t>
      </w:r>
      <w:r>
        <w:rPr>
          <w:rFonts w:ascii="Times New Roman" w:cs="Times New Roman" w:eastAsia="Times New Roman" w:hAnsi="Times New Roman"/>
          <w:noProof/>
          <w:sz w:val="20"/>
          <w:szCs w:val="20"/>
          <w:lang w:bidi="ar-EG"/>
        </w:rPr>
        <w:t xml:space="preserve"> 72</w:t>
      </w:r>
      <w:r>
        <w:rPr>
          <w:rFonts w:ascii="Times New Roman" w:cs="Times New Roman" w:eastAsia="Times New Roman" w:hAnsi="Times New Roman"/>
          <w:b/>
          <w:noProof/>
          <w:sz w:val="20"/>
          <w:szCs w:val="20"/>
          <w:lang w:bidi="ar-EG"/>
        </w:rPr>
        <w:t>,</w:t>
      </w:r>
      <w:r>
        <w:rPr>
          <w:rFonts w:ascii="Times New Roman" w:cs="Times New Roman" w:eastAsia="Times New Roman" w:hAnsi="Times New Roman"/>
          <w:noProof/>
          <w:sz w:val="20"/>
          <w:szCs w:val="20"/>
          <w:lang w:bidi="ar-EG"/>
        </w:rPr>
        <w:t xml:space="preserve"> 28-36</w:t>
      </w:r>
      <w:r>
        <w:rPr>
          <w:rFonts w:ascii="Times New Roman" w:cs="Times New Roman" w:eastAsia="Times New Roman" w:hAnsi="Times New Roman"/>
          <w:noProof/>
          <w:sz w:val="20"/>
          <w:szCs w:val="20"/>
          <w:rtl/>
          <w:lang w:bidi="ar-EG"/>
        </w:rPr>
        <w:t>.</w:t>
      </w:r>
    </w:p>
    <w:p>
      <w:pPr>
        <w:pStyle w:val="style0"/>
        <w:numPr>
          <w:ilvl w:val="0"/>
          <w:numId w:val="1"/>
        </w:numPr>
        <w:spacing w:before="240" w:after="0" w:lineRule="auto" w:line="240"/>
        <w:jc w:val="lowKashida"/>
        <w:rPr>
          <w:rFonts w:ascii="Times New Roman" w:cs="Times New Roman" w:eastAsia="Times New Roman" w:hAnsi="Times New Roman"/>
          <w:noProof/>
          <w:sz w:val="20"/>
          <w:szCs w:val="20"/>
          <w:rtl/>
          <w:lang w:bidi="ar-EG"/>
        </w:rPr>
      </w:pPr>
      <w:r>
        <w:rPr>
          <w:rFonts w:ascii="Times New Roman" w:cs="Times New Roman" w:eastAsia="Times New Roman" w:hAnsi="Times New Roman"/>
          <w:b/>
          <w:noProof/>
          <w:sz w:val="20"/>
          <w:szCs w:val="20"/>
          <w:lang w:val="it-IT" w:bidi="ar-EG"/>
        </w:rPr>
        <w:t xml:space="preserve">Takayasu, K., Arii, S., Ikai, I., Omata, M., Okita, K., Ichida, T., et al. </w:t>
      </w:r>
      <w:r>
        <w:rPr>
          <w:rFonts w:ascii="Times New Roman" w:cs="Times New Roman" w:eastAsia="Times New Roman" w:hAnsi="Times New Roman"/>
          <w:noProof/>
          <w:sz w:val="20"/>
          <w:szCs w:val="20"/>
          <w:lang w:val="it-IT" w:bidi="ar-EG"/>
        </w:rPr>
        <w:t xml:space="preserve">2006. </w:t>
      </w:r>
      <w:r>
        <w:rPr>
          <w:rFonts w:ascii="Times New Roman" w:cs="Times New Roman" w:eastAsia="Times New Roman" w:hAnsi="Times New Roman"/>
          <w:noProof/>
          <w:sz w:val="20"/>
          <w:szCs w:val="20"/>
          <w:lang w:bidi="ar-EG"/>
        </w:rPr>
        <w:t xml:space="preserve">Prospective cohort study of transarterial chemoembolization for unresectable hepatocellular carcinoma in 8510 patients. </w:t>
      </w:r>
      <w:r>
        <w:rPr>
          <w:rFonts w:ascii="Times New Roman" w:cs="Times New Roman" w:eastAsia="Times New Roman" w:hAnsi="Times New Roman"/>
          <w:i/>
          <w:noProof/>
          <w:sz w:val="20"/>
          <w:szCs w:val="20"/>
          <w:lang w:bidi="ar-EG"/>
        </w:rPr>
        <w:t>Gastroenterology,</w:t>
      </w:r>
      <w:r>
        <w:rPr>
          <w:rFonts w:ascii="Times New Roman" w:cs="Times New Roman" w:eastAsia="Times New Roman" w:hAnsi="Times New Roman"/>
          <w:noProof/>
          <w:sz w:val="20"/>
          <w:szCs w:val="20"/>
          <w:lang w:bidi="ar-EG"/>
        </w:rPr>
        <w:t xml:space="preserve"> 131</w:t>
      </w:r>
      <w:r>
        <w:rPr>
          <w:rFonts w:ascii="Times New Roman" w:cs="Times New Roman" w:eastAsia="Times New Roman" w:hAnsi="Times New Roman"/>
          <w:b/>
          <w:noProof/>
          <w:sz w:val="20"/>
          <w:szCs w:val="20"/>
          <w:lang w:bidi="ar-EG"/>
        </w:rPr>
        <w:t>,</w:t>
      </w:r>
      <w:r>
        <w:rPr>
          <w:rFonts w:ascii="Times New Roman" w:cs="Times New Roman" w:eastAsia="Times New Roman" w:hAnsi="Times New Roman"/>
          <w:noProof/>
          <w:sz w:val="20"/>
          <w:szCs w:val="20"/>
          <w:lang w:bidi="ar-EG"/>
        </w:rPr>
        <w:t xml:space="preserve"> 461-9</w:t>
      </w:r>
      <w:r>
        <w:rPr>
          <w:rFonts w:ascii="Times New Roman" w:cs="Times New Roman" w:eastAsia="Times New Roman" w:hAnsi="Times New Roman"/>
          <w:noProof/>
          <w:sz w:val="20"/>
          <w:szCs w:val="20"/>
          <w:rtl/>
          <w:lang w:bidi="ar-EG"/>
        </w:rPr>
        <w:t>.</w:t>
      </w:r>
    </w:p>
    <w:p>
      <w:pPr>
        <w:pStyle w:val="style0"/>
        <w:numPr>
          <w:ilvl w:val="0"/>
          <w:numId w:val="1"/>
        </w:numPr>
        <w:spacing w:before="240" w:after="0" w:lineRule="auto" w:line="240"/>
        <w:jc w:val="lowKashida"/>
        <w:rPr>
          <w:rFonts w:ascii="Times New Roman" w:cs="Times New Roman" w:eastAsia="Times New Roman" w:hAnsi="Times New Roman"/>
          <w:noProof/>
          <w:sz w:val="20"/>
          <w:szCs w:val="20"/>
          <w:rtl/>
          <w:lang w:bidi="ar-EG"/>
        </w:rPr>
      </w:pPr>
      <w:r>
        <w:rPr>
          <w:rFonts w:ascii="Times New Roman" w:cs="Times New Roman" w:eastAsia="Times New Roman" w:hAnsi="Times New Roman"/>
          <w:b/>
          <w:noProof/>
          <w:sz w:val="20"/>
          <w:szCs w:val="20"/>
          <w:lang w:bidi="ar-EG"/>
        </w:rPr>
        <w:t xml:space="preserve">Harkins, J. M. &amp; Ahmad, B. </w:t>
      </w:r>
      <w:r>
        <w:rPr>
          <w:rFonts w:ascii="Times New Roman" w:cs="Times New Roman" w:eastAsia="Times New Roman" w:hAnsi="Times New Roman"/>
          <w:noProof/>
          <w:sz w:val="20"/>
          <w:szCs w:val="20"/>
          <w:lang w:bidi="ar-EG"/>
        </w:rPr>
        <w:t xml:space="preserve">2023. Anatomy, abdomen and pelvis, portal venous system (hepatic portal system). </w:t>
      </w:r>
      <w:r>
        <w:rPr>
          <w:rFonts w:ascii="Times New Roman" w:cs="Times New Roman" w:eastAsia="Times New Roman" w:hAnsi="Times New Roman"/>
          <w:i/>
          <w:noProof/>
          <w:sz w:val="20"/>
          <w:szCs w:val="20"/>
          <w:lang w:bidi="ar-EG"/>
        </w:rPr>
        <w:t>StatPearls [Internet].</w:t>
      </w:r>
      <w:r>
        <w:rPr>
          <w:rFonts w:ascii="Times New Roman" w:cs="Times New Roman" w:eastAsia="Times New Roman" w:hAnsi="Times New Roman"/>
          <w:noProof/>
          <w:sz w:val="20"/>
          <w:szCs w:val="20"/>
          <w:lang w:bidi="ar-EG"/>
        </w:rPr>
        <w:t xml:space="preserve"> StatPearls Publishing</w:t>
      </w:r>
      <w:r>
        <w:rPr>
          <w:rFonts w:ascii="Times New Roman" w:cs="Times New Roman" w:eastAsia="Times New Roman" w:hAnsi="Times New Roman"/>
          <w:noProof/>
          <w:sz w:val="20"/>
          <w:szCs w:val="20"/>
          <w:rtl/>
          <w:lang w:bidi="ar-EG"/>
        </w:rPr>
        <w:t>.</w:t>
      </w:r>
    </w:p>
    <w:p>
      <w:pPr>
        <w:pStyle w:val="style0"/>
        <w:numPr>
          <w:ilvl w:val="0"/>
          <w:numId w:val="1"/>
        </w:numPr>
        <w:spacing w:before="240" w:after="0" w:lineRule="auto" w:line="240"/>
        <w:jc w:val="lowKashida"/>
        <w:rPr>
          <w:rFonts w:ascii="Times New Roman" w:cs="Times New Roman" w:eastAsia="Times New Roman" w:hAnsi="Times New Roman"/>
          <w:noProof/>
          <w:sz w:val="20"/>
          <w:szCs w:val="20"/>
          <w:rtl/>
          <w:lang w:bidi="ar-EG"/>
        </w:rPr>
      </w:pPr>
      <w:r>
        <w:rPr>
          <w:rFonts w:ascii="Times New Roman" w:cs="Times New Roman" w:eastAsia="Times New Roman" w:hAnsi="Times New Roman"/>
          <w:b/>
          <w:noProof/>
          <w:sz w:val="20"/>
          <w:szCs w:val="20"/>
          <w:lang w:bidi="ar-EG"/>
        </w:rPr>
        <w:t xml:space="preserve">Frank, N. H. </w:t>
      </w:r>
      <w:r>
        <w:rPr>
          <w:rFonts w:ascii="Times New Roman" w:cs="Times New Roman" w:eastAsia="Times New Roman" w:hAnsi="Times New Roman"/>
          <w:noProof/>
          <w:sz w:val="20"/>
          <w:szCs w:val="20"/>
          <w:lang w:bidi="ar-EG"/>
        </w:rPr>
        <w:t xml:space="preserve">2014. </w:t>
      </w:r>
      <w:r>
        <w:rPr>
          <w:rFonts w:ascii="Times New Roman" w:cs="Times New Roman" w:eastAsia="Times New Roman" w:hAnsi="Times New Roman"/>
          <w:i/>
          <w:noProof/>
          <w:sz w:val="20"/>
          <w:szCs w:val="20"/>
          <w:lang w:bidi="ar-EG"/>
        </w:rPr>
        <w:t xml:space="preserve">Atlas of human anatomy / Frank H. Netter, MD, </w:t>
      </w:r>
      <w:r>
        <w:rPr>
          <w:rFonts w:ascii="Times New Roman" w:cs="Times New Roman" w:eastAsia="Times New Roman" w:hAnsi="Times New Roman"/>
          <w:noProof/>
          <w:sz w:val="20"/>
          <w:szCs w:val="20"/>
          <w:lang w:bidi="ar-EG"/>
        </w:rPr>
        <w:t>Philadelphia</w:t>
      </w:r>
      <w:r>
        <w:rPr>
          <w:rFonts w:ascii="Times New Roman" w:cs="Times New Roman" w:eastAsia="Times New Roman" w:hAnsi="Times New Roman"/>
          <w:noProof/>
          <w:sz w:val="20"/>
          <w:szCs w:val="20"/>
          <w:rtl/>
          <w:lang w:bidi="ar-EG"/>
        </w:rPr>
        <w:t xml:space="preserve">, </w:t>
      </w:r>
      <w:r>
        <w:rPr>
          <w:rFonts w:ascii="Times New Roman" w:cs="Times New Roman" w:eastAsia="Times New Roman" w:hAnsi="Times New Roman"/>
          <w:noProof/>
          <w:sz w:val="20"/>
          <w:szCs w:val="20"/>
          <w:lang w:bidi="ar-EG"/>
        </w:rPr>
        <w:t>PA, Saunders/Elsevier</w:t>
      </w:r>
      <w:r>
        <w:rPr>
          <w:rFonts w:ascii="Times New Roman" w:cs="Times New Roman" w:eastAsia="Times New Roman" w:hAnsi="Times New Roman"/>
          <w:noProof/>
          <w:sz w:val="20"/>
          <w:szCs w:val="20"/>
          <w:rtl/>
          <w:lang w:bidi="ar-EG"/>
        </w:rPr>
        <w:t>.</w:t>
      </w:r>
    </w:p>
    <w:p>
      <w:pPr>
        <w:pStyle w:val="style0"/>
        <w:numPr>
          <w:ilvl w:val="0"/>
          <w:numId w:val="1"/>
        </w:numPr>
        <w:spacing w:before="240" w:after="0" w:lineRule="auto" w:line="240"/>
        <w:jc w:val="lowKashida"/>
        <w:rPr>
          <w:rFonts w:ascii="Times New Roman" w:cs="Times New Roman" w:eastAsia="Times New Roman" w:hAnsi="Times New Roman"/>
          <w:noProof/>
          <w:sz w:val="20"/>
          <w:szCs w:val="20"/>
          <w:rtl/>
          <w:lang w:bidi="ar-EG"/>
        </w:rPr>
      </w:pPr>
      <w:r>
        <w:rPr>
          <w:rFonts w:ascii="Times New Roman" w:cs="Times New Roman" w:eastAsia="Times New Roman" w:hAnsi="Times New Roman"/>
          <w:b/>
          <w:noProof/>
          <w:sz w:val="20"/>
          <w:szCs w:val="20"/>
          <w:lang w:bidi="ar-EG"/>
        </w:rPr>
        <w:t>Luersen, G. F</w:t>
      </w:r>
      <w:r>
        <w:rPr>
          <w:rFonts w:ascii="Times New Roman" w:cs="Times New Roman" w:eastAsia="Times New Roman" w:hAnsi="Times New Roman"/>
          <w:b/>
          <w:noProof/>
          <w:sz w:val="20"/>
          <w:szCs w:val="20"/>
          <w:rtl/>
          <w:lang w:bidi="ar-EG"/>
        </w:rPr>
        <w:t xml:space="preserve">., </w:t>
      </w:r>
      <w:r>
        <w:rPr>
          <w:rFonts w:ascii="Times New Roman" w:cs="Times New Roman" w:eastAsia="Times New Roman" w:hAnsi="Times New Roman"/>
          <w:b/>
          <w:noProof/>
          <w:sz w:val="20"/>
          <w:szCs w:val="20"/>
          <w:lang w:bidi="ar-EG"/>
        </w:rPr>
        <w:t xml:space="preserve">Bhosale, P. &amp; Szklaruk, J. </w:t>
      </w:r>
      <w:r>
        <w:rPr>
          <w:rFonts w:ascii="Times New Roman" w:cs="Times New Roman" w:eastAsia="Times New Roman" w:hAnsi="Times New Roman"/>
          <w:noProof/>
          <w:sz w:val="20"/>
          <w:szCs w:val="20"/>
          <w:lang w:bidi="ar-EG"/>
        </w:rPr>
        <w:t xml:space="preserve">2015. State-of-the-art cross-sectional liver imaging: beyond lesion detection and characterization. </w:t>
      </w:r>
      <w:r>
        <w:rPr>
          <w:rFonts w:ascii="Times New Roman" w:cs="Times New Roman" w:eastAsia="Times New Roman" w:hAnsi="Times New Roman"/>
          <w:i/>
          <w:noProof/>
          <w:sz w:val="20"/>
          <w:szCs w:val="20"/>
          <w:lang w:bidi="ar-EG"/>
        </w:rPr>
        <w:t>J Hepatocell Carcinoma,</w:t>
      </w:r>
      <w:r>
        <w:rPr>
          <w:rFonts w:ascii="Times New Roman" w:cs="Times New Roman" w:eastAsia="Times New Roman" w:hAnsi="Times New Roman"/>
          <w:noProof/>
          <w:sz w:val="20"/>
          <w:szCs w:val="20"/>
          <w:lang w:bidi="ar-EG"/>
        </w:rPr>
        <w:t xml:space="preserve"> 2</w:t>
      </w:r>
      <w:r>
        <w:rPr>
          <w:rFonts w:ascii="Times New Roman" w:cs="Times New Roman" w:eastAsia="Times New Roman" w:hAnsi="Times New Roman"/>
          <w:b/>
          <w:noProof/>
          <w:sz w:val="20"/>
          <w:szCs w:val="20"/>
          <w:lang w:bidi="ar-EG"/>
        </w:rPr>
        <w:t>,</w:t>
      </w:r>
      <w:r>
        <w:rPr>
          <w:rFonts w:ascii="Times New Roman" w:cs="Times New Roman" w:eastAsia="Times New Roman" w:hAnsi="Times New Roman"/>
          <w:noProof/>
          <w:sz w:val="20"/>
          <w:szCs w:val="20"/>
          <w:lang w:bidi="ar-EG"/>
        </w:rPr>
        <w:t xml:space="preserve"> 101-17</w:t>
      </w:r>
      <w:r>
        <w:rPr>
          <w:rFonts w:ascii="Times New Roman" w:cs="Times New Roman" w:eastAsia="Times New Roman" w:hAnsi="Times New Roman"/>
          <w:noProof/>
          <w:sz w:val="20"/>
          <w:szCs w:val="20"/>
          <w:rtl/>
          <w:lang w:bidi="ar-EG"/>
        </w:rPr>
        <w:t>.</w:t>
      </w:r>
    </w:p>
    <w:p>
      <w:pPr>
        <w:pStyle w:val="style0"/>
        <w:numPr>
          <w:ilvl w:val="0"/>
          <w:numId w:val="1"/>
        </w:numPr>
        <w:spacing w:before="240" w:after="0" w:lineRule="auto" w:line="240"/>
        <w:jc w:val="lowKashida"/>
        <w:rPr>
          <w:rFonts w:ascii="Times New Roman" w:cs="Times New Roman" w:eastAsia="Times New Roman" w:hAnsi="Times New Roman"/>
          <w:noProof/>
          <w:sz w:val="20"/>
          <w:szCs w:val="20"/>
          <w:rtl/>
          <w:lang w:bidi="ar-EG"/>
        </w:rPr>
      </w:pPr>
      <w:r>
        <w:rPr>
          <w:rFonts w:ascii="Times New Roman" w:cs="Times New Roman" w:eastAsia="Times New Roman" w:hAnsi="Times New Roman"/>
          <w:b/>
          <w:noProof/>
          <w:sz w:val="20"/>
          <w:szCs w:val="20"/>
          <w:lang w:bidi="ar-EG"/>
        </w:rPr>
        <w:t xml:space="preserve">Stephanie, McNicholas, M., Ryan &amp; Eustace, S. J. </w:t>
      </w:r>
      <w:r>
        <w:rPr>
          <w:rFonts w:ascii="Times New Roman" w:cs="Times New Roman" w:eastAsia="Times New Roman" w:hAnsi="Times New Roman"/>
          <w:noProof/>
          <w:sz w:val="20"/>
          <w:szCs w:val="20"/>
          <w:lang w:bidi="ar-EG"/>
        </w:rPr>
        <w:t xml:space="preserve">2011. </w:t>
      </w:r>
      <w:r>
        <w:rPr>
          <w:rFonts w:ascii="Times New Roman" w:cs="Times New Roman" w:eastAsia="Times New Roman" w:hAnsi="Times New Roman"/>
          <w:i/>
          <w:noProof/>
          <w:sz w:val="20"/>
          <w:szCs w:val="20"/>
          <w:lang w:bidi="ar-EG"/>
        </w:rPr>
        <w:t>Anatomy for Diagnostic Imaging E-Book: Anatomy for Diagnostic Imaging E-Book</w:t>
      </w:r>
      <w:r>
        <w:rPr>
          <w:rFonts w:ascii="Times New Roman" w:cs="Times New Roman" w:eastAsia="Times New Roman" w:hAnsi="Times New Roman"/>
          <w:noProof/>
          <w:sz w:val="20"/>
          <w:szCs w:val="20"/>
          <w:lang w:bidi="ar-EG"/>
        </w:rPr>
        <w:t>, Elsevier Health Sciences</w:t>
      </w:r>
      <w:r>
        <w:rPr>
          <w:rFonts w:ascii="Times New Roman" w:cs="Times New Roman" w:eastAsia="Times New Roman" w:hAnsi="Times New Roman"/>
          <w:noProof/>
          <w:sz w:val="20"/>
          <w:szCs w:val="20"/>
          <w:rtl/>
          <w:lang w:bidi="ar-EG"/>
        </w:rPr>
        <w:t>.</w:t>
      </w:r>
    </w:p>
    <w:p>
      <w:pPr>
        <w:pStyle w:val="style0"/>
        <w:numPr>
          <w:ilvl w:val="0"/>
          <w:numId w:val="1"/>
        </w:numPr>
        <w:spacing w:before="240" w:after="0" w:lineRule="auto" w:line="240"/>
        <w:jc w:val="lowKashida"/>
        <w:rPr>
          <w:rFonts w:ascii="Times New Roman" w:cs="Times New Roman" w:eastAsia="Times New Roman" w:hAnsi="Times New Roman"/>
          <w:noProof/>
          <w:sz w:val="20"/>
          <w:szCs w:val="20"/>
          <w:rtl/>
          <w:lang w:bidi="ar-EG"/>
        </w:rPr>
      </w:pPr>
      <w:r>
        <w:rPr>
          <w:rFonts w:ascii="Times New Roman" w:cs="Times New Roman" w:eastAsia="Times New Roman" w:hAnsi="Times New Roman"/>
          <w:b/>
          <w:noProof/>
          <w:sz w:val="20"/>
          <w:szCs w:val="20"/>
          <w:lang w:bidi="ar-EG"/>
        </w:rPr>
        <w:t>Ferlay, J., Soerjomataram, I., Dikshit</w:t>
      </w:r>
      <w:r>
        <w:rPr>
          <w:rFonts w:ascii="Times New Roman" w:cs="Times New Roman" w:eastAsia="Times New Roman" w:hAnsi="Times New Roman"/>
          <w:b/>
          <w:noProof/>
          <w:sz w:val="20"/>
          <w:szCs w:val="20"/>
          <w:rtl/>
          <w:lang w:bidi="ar-EG"/>
        </w:rPr>
        <w:t xml:space="preserve">, </w:t>
      </w:r>
      <w:r>
        <w:rPr>
          <w:rFonts w:ascii="Times New Roman" w:cs="Times New Roman" w:eastAsia="Times New Roman" w:hAnsi="Times New Roman"/>
          <w:b/>
          <w:noProof/>
          <w:sz w:val="20"/>
          <w:szCs w:val="20"/>
          <w:lang w:bidi="ar-EG"/>
        </w:rPr>
        <w:t xml:space="preserve">R., Eser, S., Mathers, C., Rebelo, M., et al. </w:t>
      </w:r>
      <w:r>
        <w:rPr>
          <w:rFonts w:ascii="Times New Roman" w:cs="Times New Roman" w:eastAsia="Times New Roman" w:hAnsi="Times New Roman"/>
          <w:noProof/>
          <w:sz w:val="20"/>
          <w:szCs w:val="20"/>
          <w:lang w:bidi="ar-EG"/>
        </w:rPr>
        <w:t xml:space="preserve">2015. Cancer incidence and mortality worldwide: sources, methods and major patterns in GLOBOCAN 2012. </w:t>
      </w:r>
      <w:r>
        <w:rPr>
          <w:rFonts w:ascii="Times New Roman" w:cs="Times New Roman" w:eastAsia="Times New Roman" w:hAnsi="Times New Roman"/>
          <w:i/>
          <w:noProof/>
          <w:sz w:val="20"/>
          <w:szCs w:val="20"/>
          <w:lang w:bidi="ar-EG"/>
        </w:rPr>
        <w:t>Int J Cancer,</w:t>
      </w:r>
      <w:r>
        <w:rPr>
          <w:rFonts w:ascii="Times New Roman" w:cs="Times New Roman" w:eastAsia="Times New Roman" w:hAnsi="Times New Roman"/>
          <w:noProof/>
          <w:sz w:val="20"/>
          <w:szCs w:val="20"/>
          <w:lang w:bidi="ar-EG"/>
        </w:rPr>
        <w:t xml:space="preserve"> 136</w:t>
      </w:r>
      <w:r>
        <w:rPr>
          <w:rFonts w:ascii="Times New Roman" w:cs="Times New Roman" w:eastAsia="Times New Roman" w:hAnsi="Times New Roman"/>
          <w:b/>
          <w:noProof/>
          <w:sz w:val="20"/>
          <w:szCs w:val="20"/>
          <w:lang w:bidi="ar-EG"/>
        </w:rPr>
        <w:t>,</w:t>
      </w:r>
      <w:r>
        <w:rPr>
          <w:rFonts w:ascii="Times New Roman" w:cs="Times New Roman" w:eastAsia="Times New Roman" w:hAnsi="Times New Roman"/>
          <w:noProof/>
          <w:sz w:val="20"/>
          <w:szCs w:val="20"/>
          <w:lang w:bidi="ar-EG"/>
        </w:rPr>
        <w:t xml:space="preserve"> E359-86</w:t>
      </w:r>
      <w:r>
        <w:rPr>
          <w:rFonts w:ascii="Times New Roman" w:cs="Times New Roman" w:eastAsia="Times New Roman" w:hAnsi="Times New Roman"/>
          <w:noProof/>
          <w:sz w:val="20"/>
          <w:szCs w:val="20"/>
          <w:rtl/>
          <w:lang w:bidi="ar-EG"/>
        </w:rPr>
        <w:t>.</w:t>
      </w:r>
    </w:p>
    <w:p>
      <w:pPr>
        <w:pStyle w:val="style0"/>
        <w:numPr>
          <w:ilvl w:val="0"/>
          <w:numId w:val="1"/>
        </w:numPr>
        <w:spacing w:before="240" w:after="0" w:lineRule="auto" w:line="240"/>
        <w:jc w:val="lowKashida"/>
        <w:rPr>
          <w:rFonts w:ascii="Times New Roman" w:cs="Times New Roman" w:eastAsia="Times New Roman" w:hAnsi="Times New Roman"/>
          <w:noProof/>
          <w:sz w:val="20"/>
          <w:szCs w:val="20"/>
          <w:rtl/>
          <w:lang w:bidi="ar-EG"/>
        </w:rPr>
      </w:pPr>
      <w:r>
        <w:rPr>
          <w:rFonts w:ascii="Times New Roman" w:cs="Times New Roman" w:eastAsia="Times New Roman" w:hAnsi="Times New Roman"/>
          <w:b/>
          <w:noProof/>
          <w:sz w:val="20"/>
          <w:szCs w:val="20"/>
          <w:lang w:bidi="ar-EG"/>
        </w:rPr>
        <w:t>Jang, J. Y., Lee, J. S., Kim, H.-J., Shim, J.-J</w:t>
      </w:r>
      <w:r>
        <w:rPr>
          <w:rFonts w:ascii="Times New Roman" w:cs="Times New Roman" w:eastAsia="Times New Roman" w:hAnsi="Times New Roman"/>
          <w:b/>
          <w:noProof/>
          <w:sz w:val="20"/>
          <w:szCs w:val="20"/>
          <w:rtl/>
          <w:lang w:bidi="ar-EG"/>
        </w:rPr>
        <w:t xml:space="preserve">., </w:t>
      </w:r>
      <w:r>
        <w:rPr>
          <w:rFonts w:ascii="Times New Roman" w:cs="Times New Roman" w:eastAsia="Times New Roman" w:hAnsi="Times New Roman"/>
          <w:b/>
          <w:noProof/>
          <w:sz w:val="20"/>
          <w:szCs w:val="20"/>
          <w:lang w:bidi="ar-EG"/>
        </w:rPr>
        <w:t xml:space="preserve">Kim, J. H., Kim, B. H., et al. </w:t>
      </w:r>
      <w:r>
        <w:rPr>
          <w:rFonts w:ascii="Times New Roman" w:cs="Times New Roman" w:eastAsia="Times New Roman" w:hAnsi="Times New Roman"/>
          <w:noProof/>
          <w:sz w:val="20"/>
          <w:szCs w:val="20"/>
          <w:lang w:bidi="ar-EG"/>
        </w:rPr>
        <w:t xml:space="preserve">2017. The general rules for the study of primary liver cancer. </w:t>
      </w:r>
      <w:r>
        <w:rPr>
          <w:rFonts w:ascii="Times New Roman" w:cs="Times New Roman" w:eastAsia="Times New Roman" w:hAnsi="Times New Roman"/>
          <w:i/>
          <w:noProof/>
          <w:sz w:val="20"/>
          <w:szCs w:val="20"/>
          <w:lang w:bidi="ar-EG"/>
        </w:rPr>
        <w:t>J Liver Cancer,</w:t>
      </w:r>
      <w:r>
        <w:rPr>
          <w:rFonts w:ascii="Times New Roman" w:cs="Times New Roman" w:eastAsia="Times New Roman" w:hAnsi="Times New Roman"/>
          <w:noProof/>
          <w:sz w:val="20"/>
          <w:szCs w:val="20"/>
          <w:lang w:bidi="ar-EG"/>
        </w:rPr>
        <w:t xml:space="preserve"> 17</w:t>
      </w:r>
      <w:r>
        <w:rPr>
          <w:rFonts w:ascii="Times New Roman" w:cs="Times New Roman" w:eastAsia="Times New Roman" w:hAnsi="Times New Roman"/>
          <w:b/>
          <w:noProof/>
          <w:sz w:val="20"/>
          <w:szCs w:val="20"/>
          <w:lang w:bidi="ar-EG"/>
        </w:rPr>
        <w:t>,</w:t>
      </w:r>
      <w:r>
        <w:rPr>
          <w:rFonts w:ascii="Times New Roman" w:cs="Times New Roman" w:eastAsia="Times New Roman" w:hAnsi="Times New Roman"/>
          <w:noProof/>
          <w:sz w:val="20"/>
          <w:szCs w:val="20"/>
          <w:lang w:bidi="ar-EG"/>
        </w:rPr>
        <w:t xml:space="preserve"> 19-44</w:t>
      </w:r>
      <w:r>
        <w:rPr>
          <w:rFonts w:ascii="Times New Roman" w:cs="Times New Roman" w:eastAsia="Times New Roman" w:hAnsi="Times New Roman"/>
          <w:noProof/>
          <w:sz w:val="20"/>
          <w:szCs w:val="20"/>
          <w:rtl/>
          <w:lang w:bidi="ar-EG"/>
        </w:rPr>
        <w:t>.</w:t>
      </w:r>
    </w:p>
    <w:p>
      <w:pPr>
        <w:pStyle w:val="style0"/>
        <w:numPr>
          <w:ilvl w:val="0"/>
          <w:numId w:val="1"/>
        </w:numPr>
        <w:spacing w:before="240" w:after="0" w:lineRule="auto" w:line="240"/>
        <w:jc w:val="lowKashida"/>
        <w:rPr>
          <w:rFonts w:ascii="Times New Roman" w:cs="Times New Roman" w:eastAsia="Times New Roman" w:hAnsi="Times New Roman"/>
          <w:noProof/>
          <w:sz w:val="20"/>
          <w:szCs w:val="20"/>
          <w:rtl/>
          <w:lang w:bidi="ar-EG"/>
        </w:rPr>
      </w:pPr>
      <w:r>
        <w:rPr>
          <w:rFonts w:ascii="Times New Roman" w:cs="Times New Roman" w:eastAsia="Times New Roman" w:hAnsi="Times New Roman"/>
          <w:b/>
          <w:noProof/>
          <w:sz w:val="20"/>
          <w:szCs w:val="20"/>
          <w:lang w:bidi="ar-EG"/>
        </w:rPr>
        <w:t xml:space="preserve">Lee, Y., Park, H., Lee, H., Cho, J. Y., Yoon, Y. S., Choi, Y. R., et al. </w:t>
      </w:r>
      <w:r>
        <w:rPr>
          <w:rFonts w:ascii="Times New Roman" w:cs="Times New Roman" w:eastAsia="Times New Roman" w:hAnsi="Times New Roman"/>
          <w:noProof/>
          <w:sz w:val="20"/>
          <w:szCs w:val="20"/>
          <w:lang w:bidi="ar-EG"/>
        </w:rPr>
        <w:t xml:space="preserve">2018. The Clinicopathological and Prognostic Significance of the Gross Classification of Hepatocellular Carcinoma. </w:t>
      </w:r>
      <w:r>
        <w:rPr>
          <w:rFonts w:ascii="Times New Roman" w:cs="Times New Roman" w:eastAsia="Times New Roman" w:hAnsi="Times New Roman"/>
          <w:i/>
          <w:noProof/>
          <w:sz w:val="20"/>
          <w:szCs w:val="20"/>
          <w:lang w:bidi="ar-EG"/>
        </w:rPr>
        <w:t>J Pathol Transl Med,</w:t>
      </w:r>
      <w:r>
        <w:rPr>
          <w:rFonts w:ascii="Times New Roman" w:cs="Times New Roman" w:eastAsia="Times New Roman" w:hAnsi="Times New Roman"/>
          <w:noProof/>
          <w:sz w:val="20"/>
          <w:szCs w:val="20"/>
          <w:lang w:bidi="ar-EG"/>
        </w:rPr>
        <w:t xml:space="preserve"> 52</w:t>
      </w:r>
      <w:r>
        <w:rPr>
          <w:rFonts w:ascii="Times New Roman" w:cs="Times New Roman" w:eastAsia="Times New Roman" w:hAnsi="Times New Roman"/>
          <w:b/>
          <w:noProof/>
          <w:sz w:val="20"/>
          <w:szCs w:val="20"/>
          <w:lang w:bidi="ar-EG"/>
        </w:rPr>
        <w:t>,</w:t>
      </w:r>
      <w:r>
        <w:rPr>
          <w:rFonts w:ascii="Times New Roman" w:cs="Times New Roman" w:eastAsia="Times New Roman" w:hAnsi="Times New Roman"/>
          <w:noProof/>
          <w:sz w:val="20"/>
          <w:szCs w:val="20"/>
          <w:lang w:bidi="ar-EG"/>
        </w:rPr>
        <w:t xml:space="preserve"> 85-92</w:t>
      </w:r>
      <w:r>
        <w:rPr>
          <w:rFonts w:ascii="Times New Roman" w:cs="Times New Roman" w:eastAsia="Times New Roman" w:hAnsi="Times New Roman"/>
          <w:noProof/>
          <w:sz w:val="20"/>
          <w:szCs w:val="20"/>
          <w:rtl/>
          <w:lang w:bidi="ar-EG"/>
        </w:rPr>
        <w:t>.</w:t>
      </w:r>
    </w:p>
    <w:p>
      <w:pPr>
        <w:pStyle w:val="style0"/>
        <w:numPr>
          <w:ilvl w:val="0"/>
          <w:numId w:val="1"/>
        </w:numPr>
        <w:spacing w:before="240" w:after="0" w:lineRule="auto" w:line="240"/>
        <w:jc w:val="lowKashida"/>
        <w:rPr>
          <w:rFonts w:ascii="Times New Roman" w:cs="Times New Roman" w:eastAsia="Times New Roman" w:hAnsi="Times New Roman"/>
          <w:noProof/>
          <w:sz w:val="20"/>
          <w:szCs w:val="20"/>
          <w:rtl/>
          <w:lang w:bidi="ar-EG"/>
        </w:rPr>
      </w:pPr>
      <w:r>
        <w:rPr>
          <w:rFonts w:ascii="Times New Roman" w:cs="Times New Roman" w:eastAsia="Times New Roman" w:hAnsi="Times New Roman"/>
          <w:b/>
          <w:noProof/>
          <w:sz w:val="20"/>
          <w:szCs w:val="20"/>
          <w:lang w:bidi="ar-EG"/>
        </w:rPr>
        <w:t xml:space="preserve">Yazdanpanah, S., Geramizadeh, B., Nikeghbalian, S. &amp; Malek-Hosseini, S. A. </w:t>
      </w:r>
      <w:r>
        <w:rPr>
          <w:rFonts w:ascii="Times New Roman" w:cs="Times New Roman" w:eastAsia="Times New Roman" w:hAnsi="Times New Roman"/>
          <w:noProof/>
          <w:sz w:val="20"/>
          <w:szCs w:val="20"/>
          <w:lang w:bidi="ar-EG"/>
        </w:rPr>
        <w:t xml:space="preserve">2016. Hepatocellular Carcinoma and Its Precursors in 103 HBV-Related Cirrhotic Explanted Livers: A Study from South Iran. </w:t>
      </w:r>
      <w:r>
        <w:rPr>
          <w:rFonts w:ascii="Times New Roman" w:cs="Times New Roman" w:eastAsia="Times New Roman" w:hAnsi="Times New Roman"/>
          <w:i/>
          <w:noProof/>
          <w:sz w:val="20"/>
          <w:szCs w:val="20"/>
          <w:lang w:bidi="ar-EG"/>
        </w:rPr>
        <w:t>Hepat Mon,</w:t>
      </w:r>
      <w:r>
        <w:rPr>
          <w:rFonts w:ascii="Times New Roman" w:cs="Times New Roman" w:eastAsia="Times New Roman" w:hAnsi="Times New Roman"/>
          <w:noProof/>
          <w:sz w:val="20"/>
          <w:szCs w:val="20"/>
          <w:lang w:bidi="ar-EG"/>
        </w:rPr>
        <w:t xml:space="preserve"> 16</w:t>
      </w:r>
      <w:r>
        <w:rPr>
          <w:rFonts w:ascii="Times New Roman" w:cs="Times New Roman" w:eastAsia="Times New Roman" w:hAnsi="Times New Roman"/>
          <w:b/>
          <w:noProof/>
          <w:sz w:val="20"/>
          <w:szCs w:val="20"/>
          <w:lang w:bidi="ar-EG"/>
        </w:rPr>
        <w:t>,</w:t>
      </w:r>
      <w:r>
        <w:rPr>
          <w:rFonts w:ascii="Times New Roman" w:cs="Times New Roman" w:eastAsia="Times New Roman" w:hAnsi="Times New Roman"/>
          <w:noProof/>
          <w:sz w:val="20"/>
          <w:szCs w:val="20"/>
          <w:lang w:bidi="ar-EG"/>
        </w:rPr>
        <w:t xml:space="preserve"> e38584</w:t>
      </w:r>
      <w:r>
        <w:rPr>
          <w:rFonts w:ascii="Times New Roman" w:cs="Times New Roman" w:eastAsia="Times New Roman" w:hAnsi="Times New Roman"/>
          <w:noProof/>
          <w:sz w:val="20"/>
          <w:szCs w:val="20"/>
          <w:rtl/>
          <w:lang w:bidi="ar-EG"/>
        </w:rPr>
        <w:t>.</w:t>
      </w:r>
    </w:p>
    <w:p>
      <w:pPr>
        <w:pStyle w:val="style0"/>
        <w:numPr>
          <w:ilvl w:val="0"/>
          <w:numId w:val="1"/>
        </w:numPr>
        <w:spacing w:before="240" w:after="0" w:lineRule="auto" w:line="240"/>
        <w:jc w:val="lowKashida"/>
        <w:rPr>
          <w:rFonts w:ascii="Times New Roman" w:cs="Times New Roman" w:eastAsia="Times New Roman" w:hAnsi="Times New Roman"/>
          <w:noProof/>
          <w:sz w:val="20"/>
          <w:szCs w:val="20"/>
          <w:rtl/>
          <w:lang w:bidi="ar-EG"/>
        </w:rPr>
      </w:pPr>
      <w:r>
        <w:rPr>
          <w:rFonts w:ascii="Times New Roman" w:cs="Times New Roman" w:eastAsia="Times New Roman" w:hAnsi="Times New Roman"/>
          <w:b/>
          <w:noProof/>
          <w:sz w:val="20"/>
          <w:szCs w:val="20"/>
          <w:lang w:bidi="ar-EG"/>
        </w:rPr>
        <w:t xml:space="preserve">Vij, M. &amp; Calderaro, J. </w:t>
      </w:r>
      <w:r>
        <w:rPr>
          <w:rFonts w:ascii="Times New Roman" w:cs="Times New Roman" w:eastAsia="Times New Roman" w:hAnsi="Times New Roman"/>
          <w:noProof/>
          <w:sz w:val="20"/>
          <w:szCs w:val="20"/>
          <w:lang w:bidi="ar-EG"/>
        </w:rPr>
        <w:t xml:space="preserve">2021. Pathologic and molecular features of hepatocellular carcinoma: An update. </w:t>
      </w:r>
      <w:r>
        <w:rPr>
          <w:rFonts w:ascii="Times New Roman" w:cs="Times New Roman" w:eastAsia="Times New Roman" w:hAnsi="Times New Roman"/>
          <w:i/>
          <w:noProof/>
          <w:sz w:val="20"/>
          <w:szCs w:val="20"/>
          <w:lang w:bidi="ar-EG"/>
        </w:rPr>
        <w:t>World J Hepatol,</w:t>
      </w:r>
      <w:r>
        <w:rPr>
          <w:rFonts w:ascii="Times New Roman" w:cs="Times New Roman" w:eastAsia="Times New Roman" w:hAnsi="Times New Roman"/>
          <w:noProof/>
          <w:sz w:val="20"/>
          <w:szCs w:val="20"/>
          <w:lang w:bidi="ar-EG"/>
        </w:rPr>
        <w:t xml:space="preserve"> 13</w:t>
      </w:r>
      <w:r>
        <w:rPr>
          <w:rFonts w:ascii="Times New Roman" w:cs="Times New Roman" w:eastAsia="Times New Roman" w:hAnsi="Times New Roman"/>
          <w:b/>
          <w:noProof/>
          <w:sz w:val="20"/>
          <w:szCs w:val="20"/>
          <w:lang w:bidi="ar-EG"/>
        </w:rPr>
        <w:t>,</w:t>
      </w:r>
      <w:r>
        <w:rPr>
          <w:rFonts w:ascii="Times New Roman" w:cs="Times New Roman" w:eastAsia="Times New Roman" w:hAnsi="Times New Roman"/>
          <w:noProof/>
          <w:sz w:val="20"/>
          <w:szCs w:val="20"/>
          <w:lang w:bidi="ar-EG"/>
        </w:rPr>
        <w:t xml:space="preserve"> 393-410</w:t>
      </w:r>
      <w:r>
        <w:rPr>
          <w:rFonts w:ascii="Times New Roman" w:cs="Times New Roman" w:eastAsia="Times New Roman" w:hAnsi="Times New Roman"/>
          <w:noProof/>
          <w:sz w:val="20"/>
          <w:szCs w:val="20"/>
          <w:rtl/>
          <w:lang w:bidi="ar-EG"/>
        </w:rPr>
        <w:t>.</w:t>
      </w:r>
    </w:p>
    <w:p>
      <w:pPr>
        <w:pStyle w:val="style0"/>
        <w:numPr>
          <w:ilvl w:val="0"/>
          <w:numId w:val="1"/>
        </w:numPr>
        <w:spacing w:before="240" w:after="0" w:lineRule="auto" w:line="240"/>
        <w:jc w:val="lowKashida"/>
        <w:rPr>
          <w:rFonts w:ascii="Times New Roman" w:cs="Times New Roman" w:eastAsia="Times New Roman" w:hAnsi="Times New Roman"/>
          <w:noProof/>
          <w:sz w:val="20"/>
          <w:szCs w:val="20"/>
          <w:rtl/>
          <w:lang w:bidi="ar-EG"/>
        </w:rPr>
      </w:pPr>
      <w:r>
        <w:rPr>
          <w:rFonts w:ascii="Times New Roman" w:cs="Times New Roman" w:eastAsia="Times New Roman" w:hAnsi="Times New Roman"/>
          <w:b/>
          <w:noProof/>
          <w:sz w:val="20"/>
          <w:szCs w:val="20"/>
          <w:lang w:val="it-IT" w:bidi="ar-EG"/>
        </w:rPr>
        <w:t xml:space="preserve">Inchingolo, R., Faletti, R., Grazioli, L., Tricarico, E., Gatti, M., Pecorelli, A., et al. </w:t>
      </w:r>
      <w:r>
        <w:rPr>
          <w:rFonts w:ascii="Times New Roman" w:cs="Times New Roman" w:eastAsia="Times New Roman" w:hAnsi="Times New Roman"/>
          <w:noProof/>
          <w:sz w:val="20"/>
          <w:szCs w:val="20"/>
          <w:lang w:val="it-IT" w:bidi="ar-EG"/>
        </w:rPr>
        <w:t xml:space="preserve">2018. </w:t>
      </w:r>
      <w:r>
        <w:rPr>
          <w:rFonts w:ascii="Times New Roman" w:cs="Times New Roman" w:eastAsia="Times New Roman" w:hAnsi="Times New Roman"/>
          <w:noProof/>
          <w:sz w:val="20"/>
          <w:szCs w:val="20"/>
          <w:lang w:bidi="ar-EG"/>
        </w:rPr>
        <w:t xml:space="preserve">MR with </w:t>
      </w:r>
      <w:r>
        <w:rPr>
          <w:rFonts w:ascii="Times New Roman" w:cs="Times New Roman" w:eastAsia="Times New Roman" w:hAnsi="Times New Roman"/>
          <w:noProof/>
          <w:sz w:val="20"/>
          <w:szCs w:val="20"/>
          <w:lang w:bidi="ar-EG"/>
        </w:rPr>
        <w:t xml:space="preserve">Gd-EOB-DTPA in assessment of liver nodules in cirrhotic patients. </w:t>
      </w:r>
      <w:r>
        <w:rPr>
          <w:rFonts w:ascii="Times New Roman" w:cs="Times New Roman" w:eastAsia="Times New Roman" w:hAnsi="Times New Roman"/>
          <w:i/>
          <w:noProof/>
          <w:sz w:val="20"/>
          <w:szCs w:val="20"/>
          <w:lang w:bidi="ar-EG"/>
        </w:rPr>
        <w:t>World J Hepatol,</w:t>
      </w:r>
      <w:r>
        <w:rPr>
          <w:rFonts w:ascii="Times New Roman" w:cs="Times New Roman" w:eastAsia="Times New Roman" w:hAnsi="Times New Roman"/>
          <w:noProof/>
          <w:sz w:val="20"/>
          <w:szCs w:val="20"/>
          <w:lang w:bidi="ar-EG"/>
        </w:rPr>
        <w:t xml:space="preserve"> 10</w:t>
      </w:r>
      <w:r>
        <w:rPr>
          <w:rFonts w:ascii="Times New Roman" w:cs="Times New Roman" w:eastAsia="Times New Roman" w:hAnsi="Times New Roman"/>
          <w:b/>
          <w:noProof/>
          <w:sz w:val="20"/>
          <w:szCs w:val="20"/>
          <w:lang w:bidi="ar-EG"/>
        </w:rPr>
        <w:t>,</w:t>
      </w:r>
      <w:r>
        <w:rPr>
          <w:rFonts w:ascii="Times New Roman" w:cs="Times New Roman" w:eastAsia="Times New Roman" w:hAnsi="Times New Roman"/>
          <w:noProof/>
          <w:sz w:val="20"/>
          <w:szCs w:val="20"/>
          <w:lang w:bidi="ar-EG"/>
        </w:rPr>
        <w:t xml:space="preserve"> 462-473</w:t>
      </w:r>
      <w:r>
        <w:rPr>
          <w:rFonts w:ascii="Times New Roman" w:cs="Times New Roman" w:eastAsia="Times New Roman" w:hAnsi="Times New Roman"/>
          <w:noProof/>
          <w:sz w:val="20"/>
          <w:szCs w:val="20"/>
          <w:rtl/>
          <w:lang w:bidi="ar-EG"/>
        </w:rPr>
        <w:t>.</w:t>
      </w:r>
    </w:p>
    <w:p>
      <w:pPr>
        <w:pStyle w:val="style0"/>
        <w:numPr>
          <w:ilvl w:val="0"/>
          <w:numId w:val="1"/>
        </w:numPr>
        <w:spacing w:before="240" w:after="0" w:lineRule="auto" w:line="240"/>
        <w:jc w:val="lowKashida"/>
        <w:rPr>
          <w:rFonts w:ascii="Times New Roman" w:cs="Times New Roman" w:eastAsia="Times New Roman" w:hAnsi="Times New Roman"/>
          <w:noProof/>
          <w:sz w:val="20"/>
          <w:szCs w:val="20"/>
          <w:rtl/>
          <w:lang w:bidi="ar-EG"/>
        </w:rPr>
      </w:pPr>
      <w:r>
        <w:rPr>
          <w:rFonts w:ascii="Times New Roman" w:cs="Times New Roman" w:eastAsia="Times New Roman" w:hAnsi="Times New Roman"/>
          <w:b/>
          <w:noProof/>
          <w:sz w:val="20"/>
          <w:szCs w:val="20"/>
          <w:lang w:val="it-IT" w:bidi="ar-EG"/>
        </w:rPr>
        <w:t xml:space="preserve">Calderaro, J., Ziol, M., Paradis, V. &amp; Zucman-Rossi, J. </w:t>
      </w:r>
      <w:r>
        <w:rPr>
          <w:rFonts w:ascii="Times New Roman" w:cs="Times New Roman" w:eastAsia="Times New Roman" w:hAnsi="Times New Roman"/>
          <w:noProof/>
          <w:sz w:val="20"/>
          <w:szCs w:val="20"/>
          <w:lang w:val="it-IT" w:bidi="ar-EG"/>
        </w:rPr>
        <w:t xml:space="preserve">2019. </w:t>
      </w:r>
      <w:r>
        <w:rPr>
          <w:rFonts w:ascii="Times New Roman" w:cs="Times New Roman" w:eastAsia="Times New Roman" w:hAnsi="Times New Roman"/>
          <w:noProof/>
          <w:sz w:val="20"/>
          <w:szCs w:val="20"/>
          <w:lang w:bidi="ar-EG"/>
        </w:rPr>
        <w:t xml:space="preserve">Molecular and histological correlations in liver cancer. </w:t>
      </w:r>
      <w:r>
        <w:rPr>
          <w:rFonts w:ascii="Times New Roman" w:cs="Times New Roman" w:eastAsia="Times New Roman" w:hAnsi="Times New Roman"/>
          <w:i/>
          <w:noProof/>
          <w:sz w:val="20"/>
          <w:szCs w:val="20"/>
          <w:lang w:bidi="ar-EG"/>
        </w:rPr>
        <w:t>J Hepatol,</w:t>
      </w:r>
      <w:r>
        <w:rPr>
          <w:rFonts w:ascii="Times New Roman" w:cs="Times New Roman" w:eastAsia="Times New Roman" w:hAnsi="Times New Roman"/>
          <w:noProof/>
          <w:sz w:val="20"/>
          <w:szCs w:val="20"/>
          <w:lang w:bidi="ar-EG"/>
        </w:rPr>
        <w:t xml:space="preserve"> 71</w:t>
      </w:r>
      <w:r>
        <w:rPr>
          <w:rFonts w:ascii="Times New Roman" w:cs="Times New Roman" w:eastAsia="Times New Roman" w:hAnsi="Times New Roman"/>
          <w:b/>
          <w:noProof/>
          <w:sz w:val="20"/>
          <w:szCs w:val="20"/>
          <w:lang w:bidi="ar-EG"/>
        </w:rPr>
        <w:t>,</w:t>
      </w:r>
      <w:r>
        <w:rPr>
          <w:rFonts w:ascii="Times New Roman" w:cs="Times New Roman" w:eastAsia="Times New Roman" w:hAnsi="Times New Roman"/>
          <w:noProof/>
          <w:sz w:val="20"/>
          <w:szCs w:val="20"/>
          <w:lang w:bidi="ar-EG"/>
        </w:rPr>
        <w:t xml:space="preserve"> 616-630</w:t>
      </w:r>
      <w:r>
        <w:rPr>
          <w:rFonts w:ascii="Times New Roman" w:cs="Times New Roman" w:eastAsia="Times New Roman" w:hAnsi="Times New Roman"/>
          <w:noProof/>
          <w:sz w:val="20"/>
          <w:szCs w:val="20"/>
          <w:rtl/>
          <w:lang w:bidi="ar-EG"/>
        </w:rPr>
        <w:t>.</w:t>
      </w:r>
    </w:p>
    <w:p>
      <w:pPr>
        <w:pStyle w:val="style0"/>
        <w:numPr>
          <w:ilvl w:val="0"/>
          <w:numId w:val="1"/>
        </w:numPr>
        <w:spacing w:before="240" w:after="0" w:lineRule="auto" w:line="240"/>
        <w:jc w:val="lowKashida"/>
        <w:rPr>
          <w:rFonts w:ascii="Times New Roman" w:cs="Times New Roman" w:eastAsia="Times New Roman" w:hAnsi="Times New Roman"/>
          <w:noProof/>
          <w:sz w:val="20"/>
          <w:szCs w:val="20"/>
          <w:rtl/>
          <w:lang w:bidi="ar-EG"/>
        </w:rPr>
      </w:pPr>
      <w:r>
        <w:rPr>
          <w:rFonts w:ascii="Times New Roman" w:cs="Times New Roman" w:eastAsia="Times New Roman" w:hAnsi="Times New Roman"/>
          <w:b/>
          <w:noProof/>
          <w:sz w:val="20"/>
          <w:szCs w:val="20"/>
          <w:lang w:bidi="ar-EG"/>
        </w:rPr>
        <w:t xml:space="preserve">Salomao, M., Yu, W. M., Brown, R. S., Jr., Emond, J. C. &amp; Lefkowitch, J. H. </w:t>
      </w:r>
      <w:r>
        <w:rPr>
          <w:rFonts w:ascii="Times New Roman" w:cs="Times New Roman" w:eastAsia="Times New Roman" w:hAnsi="Times New Roman"/>
          <w:noProof/>
          <w:sz w:val="20"/>
          <w:szCs w:val="20"/>
          <w:lang w:bidi="ar-EG"/>
        </w:rPr>
        <w:t xml:space="preserve">2010. Steatohepatitic hepatocellular carcinoma (SH-HCC): a distinctive histological variant of HCC in hepatitis C virus-related cirrhosis with associated NAFLD/NASH. </w:t>
      </w:r>
      <w:r>
        <w:rPr>
          <w:rFonts w:ascii="Times New Roman" w:cs="Times New Roman" w:eastAsia="Times New Roman" w:hAnsi="Times New Roman"/>
          <w:i/>
          <w:noProof/>
          <w:sz w:val="20"/>
          <w:szCs w:val="20"/>
          <w:lang w:bidi="ar-EG"/>
        </w:rPr>
        <w:t>Am J Surg Pathol</w:t>
      </w:r>
      <w:r>
        <w:rPr>
          <w:rFonts w:ascii="Times New Roman" w:cs="Times New Roman" w:eastAsia="Times New Roman" w:hAnsi="Times New Roman"/>
          <w:i/>
          <w:noProof/>
          <w:sz w:val="20"/>
          <w:szCs w:val="20"/>
          <w:rtl/>
          <w:lang w:bidi="ar-EG"/>
        </w:rPr>
        <w:t>,</w:t>
      </w:r>
      <w:r>
        <w:rPr>
          <w:rFonts w:ascii="Times New Roman" w:cs="Times New Roman" w:eastAsia="Times New Roman" w:hAnsi="Times New Roman"/>
          <w:noProof/>
          <w:sz w:val="20"/>
          <w:szCs w:val="20"/>
          <w:rtl/>
          <w:lang w:bidi="ar-EG"/>
        </w:rPr>
        <w:t xml:space="preserve"> 34</w:t>
      </w:r>
      <w:r>
        <w:rPr>
          <w:rFonts w:ascii="Times New Roman" w:cs="Times New Roman" w:eastAsia="Times New Roman" w:hAnsi="Times New Roman"/>
          <w:b/>
          <w:noProof/>
          <w:sz w:val="20"/>
          <w:szCs w:val="20"/>
          <w:rtl/>
          <w:lang w:bidi="ar-EG"/>
        </w:rPr>
        <w:t>,</w:t>
      </w:r>
      <w:r>
        <w:rPr>
          <w:rFonts w:ascii="Times New Roman" w:cs="Times New Roman" w:eastAsia="Times New Roman" w:hAnsi="Times New Roman"/>
          <w:noProof/>
          <w:sz w:val="20"/>
          <w:szCs w:val="20"/>
          <w:rtl/>
          <w:lang w:bidi="ar-EG"/>
        </w:rPr>
        <w:t xml:space="preserve"> 1630-6.</w:t>
      </w:r>
    </w:p>
    <w:p>
      <w:pPr>
        <w:pStyle w:val="style0"/>
        <w:numPr>
          <w:ilvl w:val="0"/>
          <w:numId w:val="1"/>
        </w:numPr>
        <w:spacing w:before="240" w:after="0" w:lineRule="auto" w:line="240"/>
        <w:jc w:val="lowKashida"/>
        <w:rPr>
          <w:rFonts w:ascii="Times New Roman" w:cs="Times New Roman" w:eastAsia="Times New Roman" w:hAnsi="Times New Roman"/>
          <w:noProof/>
          <w:sz w:val="20"/>
          <w:szCs w:val="20"/>
          <w:rtl/>
          <w:lang w:bidi="ar-EG"/>
        </w:rPr>
      </w:pPr>
      <w:r>
        <w:rPr>
          <w:rFonts w:ascii="Times New Roman" w:cs="Times New Roman" w:eastAsia="Times New Roman" w:hAnsi="Times New Roman"/>
          <w:b/>
          <w:noProof/>
          <w:sz w:val="20"/>
          <w:szCs w:val="20"/>
          <w:lang w:bidi="ar-EG"/>
        </w:rPr>
        <w:t xml:space="preserve">Qin, J., Higashi, T., Nakagawa, S., Fujiwara, N., Yamashita, Y. I., Beppu, T., et al. </w:t>
      </w:r>
      <w:r>
        <w:rPr>
          <w:rFonts w:ascii="Times New Roman" w:cs="Times New Roman" w:eastAsia="Times New Roman" w:hAnsi="Times New Roman"/>
          <w:noProof/>
          <w:sz w:val="20"/>
          <w:szCs w:val="20"/>
          <w:lang w:bidi="ar-EG"/>
        </w:rPr>
        <w:t xml:space="preserve">2020. Steatohepatitic Variant of Hepatocellular Carcinoma Is Associated With Both Alcoholic Steatohepatitis and Nonalcoholic Steatohepatitis: A Study of 2 Cohorts With Molecular Insights. </w:t>
      </w:r>
      <w:r>
        <w:rPr>
          <w:rFonts w:ascii="Times New Roman" w:cs="Times New Roman" w:eastAsia="Times New Roman" w:hAnsi="Times New Roman"/>
          <w:i/>
          <w:noProof/>
          <w:sz w:val="20"/>
          <w:szCs w:val="20"/>
          <w:lang w:bidi="ar-EG"/>
        </w:rPr>
        <w:t>Am J Surg Pathol,</w:t>
      </w:r>
      <w:r>
        <w:rPr>
          <w:rFonts w:ascii="Times New Roman" w:cs="Times New Roman" w:eastAsia="Times New Roman" w:hAnsi="Times New Roman"/>
          <w:noProof/>
          <w:sz w:val="20"/>
          <w:szCs w:val="20"/>
          <w:lang w:bidi="ar-EG"/>
        </w:rPr>
        <w:t xml:space="preserve"> 44</w:t>
      </w:r>
      <w:r>
        <w:rPr>
          <w:rFonts w:ascii="Times New Roman" w:cs="Times New Roman" w:eastAsia="Times New Roman" w:hAnsi="Times New Roman"/>
          <w:b/>
          <w:noProof/>
          <w:sz w:val="20"/>
          <w:szCs w:val="20"/>
          <w:lang w:bidi="ar-EG"/>
        </w:rPr>
        <w:t>,</w:t>
      </w:r>
      <w:r>
        <w:rPr>
          <w:rFonts w:ascii="Times New Roman" w:cs="Times New Roman" w:eastAsia="Times New Roman" w:hAnsi="Times New Roman"/>
          <w:noProof/>
          <w:sz w:val="20"/>
          <w:szCs w:val="20"/>
          <w:lang w:bidi="ar-EG"/>
        </w:rPr>
        <w:t xml:space="preserve"> 1406-1412</w:t>
      </w:r>
      <w:r>
        <w:rPr>
          <w:rFonts w:ascii="Times New Roman" w:cs="Times New Roman" w:eastAsia="Times New Roman" w:hAnsi="Times New Roman"/>
          <w:noProof/>
          <w:sz w:val="20"/>
          <w:szCs w:val="20"/>
          <w:rtl/>
          <w:lang w:bidi="ar-EG"/>
        </w:rPr>
        <w:t>.</w:t>
      </w:r>
    </w:p>
    <w:p>
      <w:pPr>
        <w:pStyle w:val="style0"/>
        <w:numPr>
          <w:ilvl w:val="0"/>
          <w:numId w:val="1"/>
        </w:numPr>
        <w:spacing w:before="240" w:after="0" w:lineRule="auto" w:line="240"/>
        <w:jc w:val="lowKashida"/>
        <w:rPr>
          <w:rFonts w:ascii="Times New Roman" w:cs="Times New Roman" w:eastAsia="Times New Roman" w:hAnsi="Times New Roman"/>
          <w:noProof/>
          <w:sz w:val="20"/>
          <w:szCs w:val="20"/>
          <w:rtl/>
          <w:lang w:bidi="ar-EG"/>
        </w:rPr>
      </w:pPr>
      <w:r>
        <w:rPr>
          <w:rFonts w:ascii="Times New Roman" w:cs="Times New Roman" w:eastAsia="Times New Roman" w:hAnsi="Times New Roman"/>
          <w:b/>
          <w:noProof/>
          <w:sz w:val="20"/>
          <w:szCs w:val="20"/>
          <w:lang w:bidi="ar-EG"/>
        </w:rPr>
        <w:t>Pfister, D., Núñez, N. G</w:t>
      </w:r>
      <w:r>
        <w:rPr>
          <w:rFonts w:ascii="Times New Roman" w:cs="Times New Roman" w:eastAsia="Times New Roman" w:hAnsi="Times New Roman"/>
          <w:b/>
          <w:noProof/>
          <w:sz w:val="20"/>
          <w:szCs w:val="20"/>
          <w:rtl/>
          <w:lang w:bidi="ar-EG"/>
        </w:rPr>
        <w:t xml:space="preserve">., </w:t>
      </w:r>
      <w:r>
        <w:rPr>
          <w:rFonts w:ascii="Times New Roman" w:cs="Times New Roman" w:eastAsia="Times New Roman" w:hAnsi="Times New Roman"/>
          <w:b/>
          <w:noProof/>
          <w:sz w:val="20"/>
          <w:szCs w:val="20"/>
          <w:lang w:bidi="ar-EG"/>
        </w:rPr>
        <w:t xml:space="preserve">Pinyol, R., Govaere, O., Pinter, M., Szydlowska, M., et al. </w:t>
      </w:r>
      <w:r>
        <w:rPr>
          <w:rFonts w:ascii="Times New Roman" w:cs="Times New Roman" w:eastAsia="Times New Roman" w:hAnsi="Times New Roman"/>
          <w:noProof/>
          <w:sz w:val="20"/>
          <w:szCs w:val="20"/>
          <w:lang w:bidi="ar-EG"/>
        </w:rPr>
        <w:t xml:space="preserve">2021. NASH limits anti-tumour surveillance in immunotherapy-treated HCC. </w:t>
      </w:r>
      <w:r>
        <w:rPr>
          <w:rFonts w:ascii="Times New Roman" w:cs="Times New Roman" w:eastAsia="Times New Roman" w:hAnsi="Times New Roman"/>
          <w:i/>
          <w:noProof/>
          <w:sz w:val="20"/>
          <w:szCs w:val="20"/>
          <w:lang w:bidi="ar-EG"/>
        </w:rPr>
        <w:t>Nature,</w:t>
      </w:r>
      <w:r>
        <w:rPr>
          <w:rFonts w:ascii="Times New Roman" w:cs="Times New Roman" w:eastAsia="Times New Roman" w:hAnsi="Times New Roman"/>
          <w:noProof/>
          <w:sz w:val="20"/>
          <w:szCs w:val="20"/>
          <w:lang w:bidi="ar-EG"/>
        </w:rPr>
        <w:t xml:space="preserve"> 592</w:t>
      </w:r>
      <w:r>
        <w:rPr>
          <w:rFonts w:ascii="Times New Roman" w:cs="Times New Roman" w:eastAsia="Times New Roman" w:hAnsi="Times New Roman"/>
          <w:b/>
          <w:noProof/>
          <w:sz w:val="20"/>
          <w:szCs w:val="20"/>
          <w:lang w:bidi="ar-EG"/>
        </w:rPr>
        <w:t>,</w:t>
      </w:r>
      <w:r>
        <w:rPr>
          <w:rFonts w:ascii="Times New Roman" w:cs="Times New Roman" w:eastAsia="Times New Roman" w:hAnsi="Times New Roman"/>
          <w:noProof/>
          <w:sz w:val="20"/>
          <w:szCs w:val="20"/>
          <w:lang w:bidi="ar-EG"/>
        </w:rPr>
        <w:t xml:space="preserve"> 450-456</w:t>
      </w:r>
      <w:r>
        <w:rPr>
          <w:rFonts w:ascii="Times New Roman" w:cs="Times New Roman" w:eastAsia="Times New Roman" w:hAnsi="Times New Roman"/>
          <w:noProof/>
          <w:sz w:val="20"/>
          <w:szCs w:val="20"/>
          <w:rtl/>
          <w:lang w:bidi="ar-EG"/>
        </w:rPr>
        <w:t>.</w:t>
      </w:r>
    </w:p>
    <w:p>
      <w:pPr>
        <w:pStyle w:val="style0"/>
        <w:numPr>
          <w:ilvl w:val="0"/>
          <w:numId w:val="1"/>
        </w:numPr>
        <w:spacing w:before="240" w:after="0" w:lineRule="auto" w:line="240"/>
        <w:jc w:val="lowKashida"/>
        <w:rPr>
          <w:rFonts w:ascii="Times New Roman" w:cs="Times New Roman" w:eastAsia="Times New Roman" w:hAnsi="Times New Roman"/>
          <w:noProof/>
          <w:sz w:val="20"/>
          <w:szCs w:val="20"/>
          <w:rtl/>
          <w:lang w:bidi="ar-EG"/>
        </w:rPr>
      </w:pPr>
      <w:r>
        <w:rPr>
          <w:rFonts w:ascii="Times New Roman" w:cs="Times New Roman" w:eastAsia="Times New Roman" w:hAnsi="Times New Roman"/>
          <w:b/>
          <w:noProof/>
          <w:sz w:val="20"/>
          <w:szCs w:val="20"/>
          <w:lang w:bidi="ar-EG"/>
        </w:rPr>
        <w:t>Chan, A. W., Tong</w:t>
      </w:r>
      <w:r>
        <w:rPr>
          <w:rFonts w:ascii="Times New Roman" w:cs="Times New Roman" w:eastAsia="Times New Roman" w:hAnsi="Times New Roman"/>
          <w:b/>
          <w:noProof/>
          <w:sz w:val="20"/>
          <w:szCs w:val="20"/>
          <w:rtl/>
          <w:lang w:bidi="ar-EG"/>
        </w:rPr>
        <w:t xml:space="preserve">, </w:t>
      </w:r>
      <w:r>
        <w:rPr>
          <w:rFonts w:ascii="Times New Roman" w:cs="Times New Roman" w:eastAsia="Times New Roman" w:hAnsi="Times New Roman"/>
          <w:b/>
          <w:noProof/>
          <w:sz w:val="20"/>
          <w:szCs w:val="20"/>
          <w:lang w:bidi="ar-EG"/>
        </w:rPr>
        <w:t xml:space="preserve">J. H., Pan, Y., Chan, S. L., Wong, G. L., Wong, V. W., et al. </w:t>
      </w:r>
      <w:r>
        <w:rPr>
          <w:rFonts w:ascii="Times New Roman" w:cs="Times New Roman" w:eastAsia="Times New Roman" w:hAnsi="Times New Roman"/>
          <w:noProof/>
          <w:sz w:val="20"/>
          <w:szCs w:val="20"/>
          <w:lang w:bidi="ar-EG"/>
        </w:rPr>
        <w:t xml:space="preserve">2015. Lymphoepithelioma-like hepatocellular carcinoma: an uncommon variant of hepatocellular carcinoma with favorable outcome. </w:t>
      </w:r>
      <w:r>
        <w:rPr>
          <w:rFonts w:ascii="Times New Roman" w:cs="Times New Roman" w:eastAsia="Times New Roman" w:hAnsi="Times New Roman"/>
          <w:i/>
          <w:noProof/>
          <w:sz w:val="20"/>
          <w:szCs w:val="20"/>
          <w:lang w:bidi="ar-EG"/>
        </w:rPr>
        <w:t>Am J Surg Pathol,</w:t>
      </w:r>
      <w:r>
        <w:rPr>
          <w:rFonts w:ascii="Times New Roman" w:cs="Times New Roman" w:eastAsia="Times New Roman" w:hAnsi="Times New Roman"/>
          <w:noProof/>
          <w:sz w:val="20"/>
          <w:szCs w:val="20"/>
          <w:lang w:bidi="ar-EG"/>
        </w:rPr>
        <w:t xml:space="preserve"> 39</w:t>
      </w:r>
      <w:r>
        <w:rPr>
          <w:rFonts w:ascii="Times New Roman" w:cs="Times New Roman" w:eastAsia="Times New Roman" w:hAnsi="Times New Roman"/>
          <w:b/>
          <w:noProof/>
          <w:sz w:val="20"/>
          <w:szCs w:val="20"/>
          <w:lang w:bidi="ar-EG"/>
        </w:rPr>
        <w:t>,</w:t>
      </w:r>
      <w:r>
        <w:rPr>
          <w:rFonts w:ascii="Times New Roman" w:cs="Times New Roman" w:eastAsia="Times New Roman" w:hAnsi="Times New Roman"/>
          <w:noProof/>
          <w:sz w:val="20"/>
          <w:szCs w:val="20"/>
          <w:lang w:bidi="ar-EG"/>
        </w:rPr>
        <w:t xml:space="preserve"> 304-12</w:t>
      </w:r>
      <w:r>
        <w:rPr>
          <w:rFonts w:ascii="Times New Roman" w:cs="Times New Roman" w:eastAsia="Times New Roman" w:hAnsi="Times New Roman"/>
          <w:noProof/>
          <w:sz w:val="20"/>
          <w:szCs w:val="20"/>
          <w:rtl/>
          <w:lang w:bidi="ar-EG"/>
        </w:rPr>
        <w:t>.</w:t>
      </w:r>
    </w:p>
    <w:p>
      <w:pPr>
        <w:pStyle w:val="style0"/>
        <w:numPr>
          <w:ilvl w:val="0"/>
          <w:numId w:val="1"/>
        </w:numPr>
        <w:spacing w:before="240" w:after="0" w:lineRule="auto" w:line="240"/>
        <w:jc w:val="lowKashida"/>
        <w:rPr>
          <w:rFonts w:ascii="Times New Roman" w:cs="Times New Roman" w:eastAsia="Times New Roman" w:hAnsi="Times New Roman"/>
          <w:noProof/>
          <w:sz w:val="20"/>
          <w:szCs w:val="20"/>
          <w:rtl/>
          <w:lang w:bidi="ar-EG"/>
        </w:rPr>
      </w:pPr>
      <w:r>
        <w:rPr>
          <w:rFonts w:ascii="Times New Roman" w:cs="Times New Roman" w:eastAsia="Times New Roman" w:hAnsi="Times New Roman"/>
          <w:b/>
          <w:noProof/>
          <w:sz w:val="20"/>
          <w:szCs w:val="20"/>
          <w:lang w:bidi="ar-EG"/>
        </w:rPr>
        <w:t xml:space="preserve">Marrero, J. A., Kulik, L. M., Sirlin, C. B., Zhu, A. X., Finn, R. S., Abecassis, M. M., et al. </w:t>
      </w:r>
      <w:r>
        <w:rPr>
          <w:rFonts w:ascii="Times New Roman" w:cs="Times New Roman" w:eastAsia="Times New Roman" w:hAnsi="Times New Roman"/>
          <w:noProof/>
          <w:sz w:val="20"/>
          <w:szCs w:val="20"/>
          <w:lang w:bidi="ar-EG"/>
        </w:rPr>
        <w:t xml:space="preserve">2018. Diagnosis, Staging, and Management of Hepatocellular Carcinoma: 2018 Practice Guidance by the American Association for the Study of Liver Diseases. </w:t>
      </w:r>
      <w:r>
        <w:rPr>
          <w:rFonts w:ascii="Times New Roman" w:cs="Times New Roman" w:eastAsia="Times New Roman" w:hAnsi="Times New Roman"/>
          <w:i/>
          <w:noProof/>
          <w:sz w:val="20"/>
          <w:szCs w:val="20"/>
          <w:lang w:bidi="ar-EG"/>
        </w:rPr>
        <w:t>Hepatology,</w:t>
      </w:r>
      <w:r>
        <w:rPr>
          <w:rFonts w:ascii="Times New Roman" w:cs="Times New Roman" w:eastAsia="Times New Roman" w:hAnsi="Times New Roman"/>
          <w:noProof/>
          <w:sz w:val="20"/>
          <w:szCs w:val="20"/>
          <w:lang w:bidi="ar-EG"/>
        </w:rPr>
        <w:t xml:space="preserve"> 68</w:t>
      </w:r>
      <w:r>
        <w:rPr>
          <w:rFonts w:ascii="Times New Roman" w:cs="Times New Roman" w:eastAsia="Times New Roman" w:hAnsi="Times New Roman"/>
          <w:b/>
          <w:noProof/>
          <w:sz w:val="20"/>
          <w:szCs w:val="20"/>
          <w:lang w:bidi="ar-EG"/>
        </w:rPr>
        <w:t>,</w:t>
      </w:r>
      <w:r>
        <w:rPr>
          <w:rFonts w:ascii="Times New Roman" w:cs="Times New Roman" w:eastAsia="Times New Roman" w:hAnsi="Times New Roman"/>
          <w:noProof/>
          <w:sz w:val="20"/>
          <w:szCs w:val="20"/>
          <w:lang w:bidi="ar-EG"/>
        </w:rPr>
        <w:t xml:space="preserve"> 723-750</w:t>
      </w:r>
      <w:r>
        <w:rPr>
          <w:rFonts w:ascii="Times New Roman" w:cs="Times New Roman" w:eastAsia="Times New Roman" w:hAnsi="Times New Roman"/>
          <w:noProof/>
          <w:sz w:val="20"/>
          <w:szCs w:val="20"/>
          <w:rtl/>
          <w:lang w:bidi="ar-EG"/>
        </w:rPr>
        <w:t>.</w:t>
      </w:r>
    </w:p>
    <w:p>
      <w:pPr>
        <w:pStyle w:val="style0"/>
        <w:numPr>
          <w:ilvl w:val="0"/>
          <w:numId w:val="1"/>
        </w:numPr>
        <w:spacing w:before="240" w:after="0" w:lineRule="auto" w:line="240"/>
        <w:jc w:val="lowKashida"/>
        <w:rPr>
          <w:rFonts w:ascii="Times New Roman" w:cs="Times New Roman" w:eastAsia="Times New Roman" w:hAnsi="Times New Roman"/>
          <w:noProof/>
          <w:sz w:val="20"/>
          <w:szCs w:val="20"/>
          <w:rtl/>
          <w:lang w:bidi="ar-EG"/>
        </w:rPr>
      </w:pPr>
      <w:r>
        <w:rPr>
          <w:rFonts w:ascii="Times New Roman" w:cs="Times New Roman" w:eastAsia="Times New Roman" w:hAnsi="Times New Roman"/>
          <w:b/>
          <w:noProof/>
          <w:sz w:val="20"/>
          <w:szCs w:val="20"/>
          <w:lang w:bidi="ar-EG"/>
        </w:rPr>
        <w:t xml:space="preserve">Rashed, W. M., Kandeil, M. A. M., Mahmoud, M. O. &amp; Ezzat, S. </w:t>
      </w:r>
      <w:r>
        <w:rPr>
          <w:rFonts w:ascii="Times New Roman" w:cs="Times New Roman" w:eastAsia="Times New Roman" w:hAnsi="Times New Roman"/>
          <w:noProof/>
          <w:sz w:val="20"/>
          <w:szCs w:val="20"/>
          <w:lang w:bidi="ar-EG"/>
        </w:rPr>
        <w:t xml:space="preserve">2020. Hepatocellular Carcinoma (HCC) in Egypt: A comprehensive overview. </w:t>
      </w:r>
      <w:r>
        <w:rPr>
          <w:rFonts w:ascii="Times New Roman" w:cs="Times New Roman" w:eastAsia="Times New Roman" w:hAnsi="Times New Roman"/>
          <w:i/>
          <w:noProof/>
          <w:sz w:val="20"/>
          <w:szCs w:val="20"/>
          <w:lang w:bidi="ar-EG"/>
        </w:rPr>
        <w:t>Journal of the Egyptian National Cancer Institute,</w:t>
      </w:r>
      <w:r>
        <w:rPr>
          <w:rFonts w:ascii="Times New Roman" w:cs="Times New Roman" w:eastAsia="Times New Roman" w:hAnsi="Times New Roman"/>
          <w:noProof/>
          <w:sz w:val="20"/>
          <w:szCs w:val="20"/>
          <w:lang w:bidi="ar-EG"/>
        </w:rPr>
        <w:t xml:space="preserve"> 32</w:t>
      </w:r>
      <w:r>
        <w:rPr>
          <w:rFonts w:ascii="Times New Roman" w:cs="Times New Roman" w:eastAsia="Times New Roman" w:hAnsi="Times New Roman"/>
          <w:b/>
          <w:noProof/>
          <w:sz w:val="20"/>
          <w:szCs w:val="20"/>
          <w:lang w:bidi="ar-EG"/>
        </w:rPr>
        <w:t>,</w:t>
      </w:r>
      <w:r>
        <w:rPr>
          <w:rFonts w:ascii="Times New Roman" w:cs="Times New Roman" w:eastAsia="Times New Roman" w:hAnsi="Times New Roman"/>
          <w:noProof/>
          <w:sz w:val="20"/>
          <w:szCs w:val="20"/>
          <w:lang w:bidi="ar-EG"/>
        </w:rPr>
        <w:t xml:space="preserve"> 5</w:t>
      </w:r>
      <w:r>
        <w:rPr>
          <w:rFonts w:ascii="Times New Roman" w:cs="Times New Roman" w:eastAsia="Times New Roman" w:hAnsi="Times New Roman"/>
          <w:noProof/>
          <w:sz w:val="20"/>
          <w:szCs w:val="20"/>
          <w:rtl/>
          <w:lang w:bidi="ar-EG"/>
        </w:rPr>
        <w:t>.</w:t>
      </w:r>
    </w:p>
    <w:p>
      <w:pPr>
        <w:pStyle w:val="style0"/>
        <w:numPr>
          <w:ilvl w:val="0"/>
          <w:numId w:val="1"/>
        </w:numPr>
        <w:spacing w:before="240" w:after="0" w:lineRule="auto" w:line="240"/>
        <w:jc w:val="lowKashida"/>
        <w:rPr>
          <w:rFonts w:ascii="Times New Roman" w:cs="Times New Roman" w:eastAsia="Times New Roman" w:hAnsi="Times New Roman"/>
          <w:noProof/>
          <w:sz w:val="20"/>
          <w:szCs w:val="20"/>
          <w:rtl/>
          <w:lang w:bidi="ar-EG"/>
        </w:rPr>
      </w:pPr>
      <w:r>
        <w:rPr>
          <w:rFonts w:ascii="Times New Roman" w:cs="Times New Roman" w:eastAsia="Times New Roman" w:hAnsi="Times New Roman"/>
          <w:b/>
          <w:noProof/>
          <w:sz w:val="20"/>
          <w:szCs w:val="20"/>
          <w:lang w:bidi="ar-EG"/>
        </w:rPr>
        <w:t xml:space="preserve">Revel-Mouroz, P., Otal, P., Jaffro, M., Petermann, A., Meyrignac, O., Rabinel, P., et al. </w:t>
      </w:r>
      <w:r>
        <w:rPr>
          <w:rFonts w:ascii="Times New Roman" w:cs="Times New Roman" w:eastAsia="Times New Roman" w:hAnsi="Times New Roman"/>
          <w:noProof/>
          <w:sz w:val="20"/>
          <w:szCs w:val="20"/>
          <w:lang w:bidi="ar-EG"/>
        </w:rPr>
        <w:t xml:space="preserve">2017. Other non-surgical treatments for liver cancer. </w:t>
      </w:r>
      <w:r>
        <w:rPr>
          <w:rFonts w:ascii="Times New Roman" w:cs="Times New Roman" w:eastAsia="Times New Roman" w:hAnsi="Times New Roman"/>
          <w:i/>
          <w:noProof/>
          <w:sz w:val="20"/>
          <w:szCs w:val="20"/>
          <w:lang w:bidi="ar-EG"/>
        </w:rPr>
        <w:t>Reports of Practical Oncology &amp; Radiotherapy,</w:t>
      </w:r>
      <w:r>
        <w:rPr>
          <w:rFonts w:ascii="Times New Roman" w:cs="Times New Roman" w:eastAsia="Times New Roman" w:hAnsi="Times New Roman"/>
          <w:noProof/>
          <w:sz w:val="20"/>
          <w:szCs w:val="20"/>
          <w:lang w:bidi="ar-EG"/>
        </w:rPr>
        <w:t xml:space="preserve"> 22</w:t>
      </w:r>
      <w:r>
        <w:rPr>
          <w:rFonts w:ascii="Times New Roman" w:cs="Times New Roman" w:eastAsia="Times New Roman" w:hAnsi="Times New Roman"/>
          <w:b/>
          <w:noProof/>
          <w:sz w:val="20"/>
          <w:szCs w:val="20"/>
          <w:lang w:bidi="ar-EG"/>
        </w:rPr>
        <w:t>,</w:t>
      </w:r>
      <w:r>
        <w:rPr>
          <w:rFonts w:ascii="Times New Roman" w:cs="Times New Roman" w:eastAsia="Times New Roman" w:hAnsi="Times New Roman"/>
          <w:noProof/>
          <w:sz w:val="20"/>
          <w:szCs w:val="20"/>
          <w:lang w:bidi="ar-EG"/>
        </w:rPr>
        <w:t xml:space="preserve"> 181-192</w:t>
      </w:r>
      <w:r>
        <w:rPr>
          <w:rFonts w:ascii="Times New Roman" w:cs="Times New Roman" w:eastAsia="Times New Roman" w:hAnsi="Times New Roman"/>
          <w:noProof/>
          <w:sz w:val="20"/>
          <w:szCs w:val="20"/>
          <w:rtl/>
          <w:lang w:bidi="ar-EG"/>
        </w:rPr>
        <w:t>.</w:t>
      </w:r>
    </w:p>
    <w:p>
      <w:pPr>
        <w:pStyle w:val="style0"/>
        <w:numPr>
          <w:ilvl w:val="0"/>
          <w:numId w:val="1"/>
        </w:numPr>
        <w:spacing w:before="240" w:after="0" w:lineRule="auto" w:line="240"/>
        <w:jc w:val="lowKashida"/>
        <w:rPr>
          <w:rFonts w:ascii="Times New Roman" w:cs="Times New Roman" w:eastAsia="Times New Roman" w:hAnsi="Times New Roman"/>
          <w:noProof/>
          <w:sz w:val="20"/>
          <w:szCs w:val="20"/>
          <w:rtl/>
          <w:lang w:bidi="ar-EG"/>
        </w:rPr>
      </w:pPr>
      <w:r>
        <w:rPr>
          <w:rFonts w:ascii="Times New Roman" w:cs="Times New Roman" w:eastAsia="Times New Roman" w:hAnsi="Times New Roman"/>
          <w:b/>
          <w:noProof/>
          <w:sz w:val="20"/>
          <w:szCs w:val="20"/>
          <w:lang w:bidi="ar-EG"/>
        </w:rPr>
        <w:t xml:space="preserve">Kumar, A., Abbas, A. K. &amp; Jon, C. </w:t>
      </w:r>
      <w:r>
        <w:rPr>
          <w:rFonts w:ascii="Times New Roman" w:cs="Times New Roman" w:eastAsia="Times New Roman" w:hAnsi="Times New Roman"/>
          <w:noProof/>
          <w:sz w:val="20"/>
          <w:szCs w:val="20"/>
          <w:lang w:bidi="ar-EG"/>
        </w:rPr>
        <w:t>2018. Aster. Robbins basic pathology</w:t>
      </w:r>
      <w:r>
        <w:rPr>
          <w:rFonts w:ascii="Times New Roman" w:cs="Times New Roman" w:eastAsia="Times New Roman" w:hAnsi="Times New Roman"/>
          <w:noProof/>
          <w:sz w:val="20"/>
          <w:szCs w:val="20"/>
          <w:rtl/>
          <w:lang w:bidi="ar-EG"/>
        </w:rPr>
        <w:t xml:space="preserve">. </w:t>
      </w:r>
      <w:r>
        <w:rPr>
          <w:rFonts w:ascii="Times New Roman" w:cs="Times New Roman" w:eastAsia="Times New Roman" w:hAnsi="Times New Roman"/>
          <w:noProof/>
          <w:sz w:val="20"/>
          <w:szCs w:val="20"/>
          <w:lang w:bidi="ar-EG"/>
        </w:rPr>
        <w:t>Philadelphia: Elsevier</w:t>
      </w:r>
      <w:r>
        <w:rPr>
          <w:rFonts w:ascii="Times New Roman" w:cs="Times New Roman" w:eastAsia="Times New Roman" w:hAnsi="Times New Roman"/>
          <w:noProof/>
          <w:sz w:val="20"/>
          <w:szCs w:val="20"/>
          <w:rtl/>
          <w:lang w:bidi="ar-EG"/>
        </w:rPr>
        <w:t>.</w:t>
      </w:r>
    </w:p>
    <w:p>
      <w:pPr>
        <w:pStyle w:val="style0"/>
        <w:numPr>
          <w:ilvl w:val="0"/>
          <w:numId w:val="1"/>
        </w:numPr>
        <w:spacing w:before="240" w:after="0" w:lineRule="auto" w:line="240"/>
        <w:jc w:val="lowKashida"/>
        <w:rPr>
          <w:rFonts w:ascii="Times New Roman" w:cs="Times New Roman" w:eastAsia="Times New Roman" w:hAnsi="Times New Roman"/>
          <w:noProof/>
          <w:sz w:val="20"/>
          <w:szCs w:val="20"/>
          <w:rtl/>
          <w:lang w:bidi="ar-EG"/>
        </w:rPr>
      </w:pPr>
      <w:r>
        <w:rPr>
          <w:rFonts w:ascii="Times New Roman" w:cs="Times New Roman" w:eastAsia="Times New Roman" w:hAnsi="Times New Roman"/>
          <w:b/>
          <w:noProof/>
          <w:sz w:val="20"/>
          <w:szCs w:val="20"/>
          <w:lang w:bidi="ar-EG"/>
        </w:rPr>
        <w:t xml:space="preserve">Raoul, J. L., Forner, A., Bolondi, L., Cheung, T. T., Kloeckner, R. &amp; de Baere, T. </w:t>
      </w:r>
      <w:r>
        <w:rPr>
          <w:rFonts w:ascii="Times New Roman" w:cs="Times New Roman" w:eastAsia="Times New Roman" w:hAnsi="Times New Roman"/>
          <w:noProof/>
          <w:sz w:val="20"/>
          <w:szCs w:val="20"/>
          <w:lang w:bidi="ar-EG"/>
        </w:rPr>
        <w:t xml:space="preserve">2019. Updated use of TACE for hepatocellular carcinoma treatment: How and when to use it based on clinical evidence. </w:t>
      </w:r>
      <w:r>
        <w:rPr>
          <w:rFonts w:ascii="Times New Roman" w:cs="Times New Roman" w:eastAsia="Times New Roman" w:hAnsi="Times New Roman"/>
          <w:i/>
          <w:noProof/>
          <w:sz w:val="20"/>
          <w:szCs w:val="20"/>
          <w:lang w:bidi="ar-EG"/>
        </w:rPr>
        <w:t>Cancer Treat Rev,</w:t>
      </w:r>
      <w:r>
        <w:rPr>
          <w:rFonts w:ascii="Times New Roman" w:cs="Times New Roman" w:eastAsia="Times New Roman" w:hAnsi="Times New Roman"/>
          <w:noProof/>
          <w:sz w:val="20"/>
          <w:szCs w:val="20"/>
          <w:lang w:bidi="ar-EG"/>
        </w:rPr>
        <w:t xml:space="preserve"> 72</w:t>
      </w:r>
      <w:r>
        <w:rPr>
          <w:rFonts w:ascii="Times New Roman" w:cs="Times New Roman" w:eastAsia="Times New Roman" w:hAnsi="Times New Roman"/>
          <w:b/>
          <w:noProof/>
          <w:sz w:val="20"/>
          <w:szCs w:val="20"/>
          <w:lang w:bidi="ar-EG"/>
        </w:rPr>
        <w:t>,</w:t>
      </w:r>
      <w:r>
        <w:rPr>
          <w:rFonts w:ascii="Times New Roman" w:cs="Times New Roman" w:eastAsia="Times New Roman" w:hAnsi="Times New Roman"/>
          <w:noProof/>
          <w:sz w:val="20"/>
          <w:szCs w:val="20"/>
          <w:lang w:bidi="ar-EG"/>
        </w:rPr>
        <w:t xml:space="preserve"> 28-36</w:t>
      </w:r>
      <w:r>
        <w:rPr>
          <w:rFonts w:ascii="Times New Roman" w:cs="Times New Roman" w:eastAsia="Times New Roman" w:hAnsi="Times New Roman"/>
          <w:noProof/>
          <w:sz w:val="20"/>
          <w:szCs w:val="20"/>
          <w:rtl/>
          <w:lang w:bidi="ar-EG"/>
        </w:rPr>
        <w:t>.</w:t>
      </w:r>
    </w:p>
    <w:p>
      <w:pPr>
        <w:pStyle w:val="style0"/>
        <w:numPr>
          <w:ilvl w:val="0"/>
          <w:numId w:val="1"/>
        </w:numPr>
        <w:spacing w:before="240" w:after="0" w:lineRule="auto" w:line="240"/>
        <w:jc w:val="lowKashida"/>
        <w:rPr>
          <w:rFonts w:ascii="Times New Roman" w:cs="Times New Roman" w:eastAsia="Times New Roman" w:hAnsi="Times New Roman"/>
          <w:noProof/>
          <w:sz w:val="20"/>
          <w:szCs w:val="20"/>
          <w:rtl/>
          <w:lang w:bidi="ar-EG"/>
        </w:rPr>
      </w:pPr>
      <w:r>
        <w:rPr>
          <w:rFonts w:ascii="Times New Roman" w:cs="Times New Roman" w:eastAsia="Times New Roman" w:hAnsi="Times New Roman"/>
          <w:b/>
          <w:noProof/>
          <w:sz w:val="20"/>
          <w:szCs w:val="20"/>
          <w:lang w:bidi="ar-EG"/>
        </w:rPr>
        <w:t>Sparchez, Z., Radu, P</w:t>
      </w:r>
      <w:r>
        <w:rPr>
          <w:rFonts w:ascii="Times New Roman" w:cs="Times New Roman" w:eastAsia="Times New Roman" w:hAnsi="Times New Roman"/>
          <w:b/>
          <w:noProof/>
          <w:sz w:val="20"/>
          <w:szCs w:val="20"/>
          <w:rtl/>
          <w:lang w:bidi="ar-EG"/>
        </w:rPr>
        <w:t xml:space="preserve">., </w:t>
      </w:r>
      <w:r>
        <w:rPr>
          <w:rFonts w:ascii="Times New Roman" w:cs="Times New Roman" w:eastAsia="Times New Roman" w:hAnsi="Times New Roman"/>
          <w:b/>
          <w:noProof/>
          <w:sz w:val="20"/>
          <w:szCs w:val="20"/>
          <w:lang w:bidi="ar-EG"/>
        </w:rPr>
        <w:t xml:space="preserve">Bartos, A., Nenu, I., Craciun, R., Mocan, T., et al. </w:t>
      </w:r>
      <w:r>
        <w:rPr>
          <w:rFonts w:ascii="Times New Roman" w:cs="Times New Roman" w:eastAsia="Times New Roman" w:hAnsi="Times New Roman"/>
          <w:noProof/>
          <w:sz w:val="20"/>
          <w:szCs w:val="20"/>
          <w:lang w:bidi="ar-EG"/>
        </w:rPr>
        <w:t xml:space="preserve">2021. Combined treatments in hepatocellular carcinoma: Time to put them in the guidelines? </w:t>
      </w:r>
      <w:r>
        <w:rPr>
          <w:rFonts w:ascii="Times New Roman" w:cs="Times New Roman" w:eastAsia="Times New Roman" w:hAnsi="Times New Roman"/>
          <w:i/>
          <w:noProof/>
          <w:sz w:val="20"/>
          <w:szCs w:val="20"/>
          <w:lang w:bidi="ar-EG"/>
        </w:rPr>
        <w:t>World J Gastrointest Oncol,</w:t>
      </w:r>
      <w:r>
        <w:rPr>
          <w:rFonts w:ascii="Times New Roman" w:cs="Times New Roman" w:eastAsia="Times New Roman" w:hAnsi="Times New Roman"/>
          <w:noProof/>
          <w:sz w:val="20"/>
          <w:szCs w:val="20"/>
          <w:lang w:bidi="ar-EG"/>
        </w:rPr>
        <w:t xml:space="preserve"> 13</w:t>
      </w:r>
      <w:r>
        <w:rPr>
          <w:rFonts w:ascii="Times New Roman" w:cs="Times New Roman" w:eastAsia="Times New Roman" w:hAnsi="Times New Roman"/>
          <w:b/>
          <w:noProof/>
          <w:sz w:val="20"/>
          <w:szCs w:val="20"/>
          <w:lang w:bidi="ar-EG"/>
        </w:rPr>
        <w:t>,</w:t>
      </w:r>
      <w:r>
        <w:rPr>
          <w:rFonts w:ascii="Times New Roman" w:cs="Times New Roman" w:eastAsia="Times New Roman" w:hAnsi="Times New Roman"/>
          <w:noProof/>
          <w:sz w:val="20"/>
          <w:szCs w:val="20"/>
          <w:lang w:bidi="ar-EG"/>
        </w:rPr>
        <w:t xml:space="preserve"> 1896-1918</w:t>
      </w:r>
      <w:r>
        <w:rPr>
          <w:rFonts w:ascii="Times New Roman" w:cs="Times New Roman" w:eastAsia="Times New Roman" w:hAnsi="Times New Roman"/>
          <w:noProof/>
          <w:sz w:val="20"/>
          <w:szCs w:val="20"/>
          <w:rtl/>
          <w:lang w:bidi="ar-EG"/>
        </w:rPr>
        <w:t>.</w:t>
      </w:r>
    </w:p>
    <w:p>
      <w:pPr>
        <w:pStyle w:val="style0"/>
        <w:numPr>
          <w:ilvl w:val="0"/>
          <w:numId w:val="1"/>
        </w:numPr>
        <w:spacing w:before="240" w:after="0" w:lineRule="auto" w:line="240"/>
        <w:jc w:val="lowKashida"/>
        <w:rPr>
          <w:rFonts w:ascii="Times New Roman" w:cs="Times New Roman" w:eastAsia="Times New Roman" w:hAnsi="Times New Roman"/>
          <w:noProof/>
          <w:sz w:val="20"/>
          <w:szCs w:val="20"/>
          <w:rtl/>
          <w:lang w:bidi="ar-EG"/>
        </w:rPr>
      </w:pPr>
      <w:r>
        <w:rPr>
          <w:rFonts w:ascii="Times New Roman" w:cs="Times New Roman" w:eastAsia="Times New Roman" w:hAnsi="Times New Roman"/>
          <w:b/>
          <w:noProof/>
          <w:sz w:val="20"/>
          <w:szCs w:val="20"/>
          <w:lang w:bidi="ar-EG"/>
        </w:rPr>
        <w:t>Karim, M. A., Singal, A. G., Kum, H. C., Lee, Y. T., Park</w:t>
      </w:r>
      <w:r>
        <w:rPr>
          <w:rFonts w:ascii="Times New Roman" w:cs="Times New Roman" w:eastAsia="Times New Roman" w:hAnsi="Times New Roman"/>
          <w:b/>
          <w:noProof/>
          <w:sz w:val="20"/>
          <w:szCs w:val="20"/>
          <w:rtl/>
          <w:lang w:bidi="ar-EG"/>
        </w:rPr>
        <w:t xml:space="preserve">, </w:t>
      </w:r>
      <w:r>
        <w:rPr>
          <w:rFonts w:ascii="Times New Roman" w:cs="Times New Roman" w:eastAsia="Times New Roman" w:hAnsi="Times New Roman"/>
          <w:b/>
          <w:noProof/>
          <w:sz w:val="20"/>
          <w:szCs w:val="20"/>
          <w:lang w:bidi="ar-EG"/>
        </w:rPr>
        <w:t xml:space="preserve">S., Rich, N. E., et al. </w:t>
      </w:r>
      <w:r>
        <w:rPr>
          <w:rFonts w:ascii="Times New Roman" w:cs="Times New Roman" w:eastAsia="Times New Roman" w:hAnsi="Times New Roman"/>
          <w:noProof/>
          <w:sz w:val="20"/>
          <w:szCs w:val="20"/>
          <w:lang w:bidi="ar-EG"/>
        </w:rPr>
        <w:t xml:space="preserve">2023. Prediagnostic CT or MRI Utilization and Outcomes in Hepatocellular Carcinoma: SEER-Medicare Database Analysis. </w:t>
      </w:r>
      <w:r>
        <w:rPr>
          <w:rFonts w:ascii="Times New Roman" w:cs="Times New Roman" w:eastAsia="Times New Roman" w:hAnsi="Times New Roman"/>
          <w:i/>
          <w:noProof/>
          <w:sz w:val="20"/>
          <w:szCs w:val="20"/>
          <w:lang w:bidi="ar-EG"/>
        </w:rPr>
        <w:t>Cancer Res Commun,</w:t>
      </w:r>
      <w:r>
        <w:rPr>
          <w:rFonts w:ascii="Times New Roman" w:cs="Times New Roman" w:eastAsia="Times New Roman" w:hAnsi="Times New Roman"/>
          <w:noProof/>
          <w:sz w:val="20"/>
          <w:szCs w:val="20"/>
          <w:lang w:bidi="ar-EG"/>
        </w:rPr>
        <w:t xml:space="preserve"> 3</w:t>
      </w:r>
      <w:r>
        <w:rPr>
          <w:rFonts w:ascii="Times New Roman" w:cs="Times New Roman" w:eastAsia="Times New Roman" w:hAnsi="Times New Roman"/>
          <w:b/>
          <w:noProof/>
          <w:sz w:val="20"/>
          <w:szCs w:val="20"/>
          <w:lang w:bidi="ar-EG"/>
        </w:rPr>
        <w:t>,</w:t>
      </w:r>
      <w:r>
        <w:rPr>
          <w:rFonts w:ascii="Times New Roman" w:cs="Times New Roman" w:eastAsia="Times New Roman" w:hAnsi="Times New Roman"/>
          <w:noProof/>
          <w:sz w:val="20"/>
          <w:szCs w:val="20"/>
          <w:lang w:bidi="ar-EG"/>
        </w:rPr>
        <w:t xml:space="preserve"> 874-883</w:t>
      </w:r>
      <w:r>
        <w:rPr>
          <w:rFonts w:ascii="Times New Roman" w:cs="Times New Roman" w:eastAsia="Times New Roman" w:hAnsi="Times New Roman"/>
          <w:noProof/>
          <w:sz w:val="20"/>
          <w:szCs w:val="20"/>
          <w:rtl/>
          <w:lang w:bidi="ar-EG"/>
        </w:rPr>
        <w:t>.</w:t>
      </w:r>
    </w:p>
    <w:p>
      <w:pPr>
        <w:pStyle w:val="style0"/>
        <w:numPr>
          <w:ilvl w:val="0"/>
          <w:numId w:val="1"/>
        </w:numPr>
        <w:spacing w:before="240" w:after="0" w:lineRule="auto" w:line="240"/>
        <w:jc w:val="lowKashida"/>
        <w:rPr>
          <w:rFonts w:ascii="Times New Roman" w:cs="Times New Roman" w:eastAsia="Times New Roman" w:hAnsi="Times New Roman"/>
          <w:noProof/>
          <w:sz w:val="20"/>
          <w:szCs w:val="20"/>
          <w:rtl/>
          <w:lang w:bidi="ar-EG"/>
        </w:rPr>
      </w:pPr>
      <w:r>
        <w:rPr>
          <w:rFonts w:ascii="Times New Roman" w:cs="Times New Roman" w:eastAsia="Times New Roman" w:hAnsi="Times New Roman"/>
          <w:b/>
          <w:noProof/>
          <w:sz w:val="20"/>
          <w:szCs w:val="20"/>
          <w:lang w:val="it-IT" w:bidi="ar-EG"/>
        </w:rPr>
        <w:t xml:space="preserve">Reddy, V., Todnem, N., Franco-Mesa, C., Erben, Y., Tawk, R. G. &amp; Ritchie, C. </w:t>
      </w:r>
      <w:r>
        <w:rPr>
          <w:rFonts w:ascii="Times New Roman" w:cs="Times New Roman" w:eastAsia="Times New Roman" w:hAnsi="Times New Roman"/>
          <w:noProof/>
          <w:sz w:val="20"/>
          <w:szCs w:val="20"/>
          <w:lang w:val="it-IT" w:bidi="ar-EG"/>
        </w:rPr>
        <w:t xml:space="preserve">2021. </w:t>
      </w:r>
      <w:r>
        <w:rPr>
          <w:rFonts w:ascii="Times New Roman" w:cs="Times New Roman" w:eastAsia="Times New Roman" w:hAnsi="Times New Roman"/>
          <w:noProof/>
          <w:sz w:val="20"/>
          <w:szCs w:val="20"/>
          <w:lang w:bidi="ar-EG"/>
        </w:rPr>
        <w:t xml:space="preserve">Endovascular repair of a common femoral artery puncture after losing access using a vascular closure device. </w:t>
      </w:r>
      <w:r>
        <w:rPr>
          <w:rFonts w:ascii="Times New Roman" w:cs="Times New Roman" w:eastAsia="Times New Roman" w:hAnsi="Times New Roman"/>
          <w:i/>
          <w:noProof/>
          <w:sz w:val="20"/>
          <w:szCs w:val="20"/>
          <w:lang w:bidi="ar-EG"/>
        </w:rPr>
        <w:t>J Vasc Surg Cases Innov Tech,</w:t>
      </w:r>
      <w:r>
        <w:rPr>
          <w:rFonts w:ascii="Times New Roman" w:cs="Times New Roman" w:eastAsia="Times New Roman" w:hAnsi="Times New Roman"/>
          <w:noProof/>
          <w:sz w:val="20"/>
          <w:szCs w:val="20"/>
          <w:lang w:bidi="ar-EG"/>
        </w:rPr>
        <w:t xml:space="preserve"> 7</w:t>
      </w:r>
      <w:r>
        <w:rPr>
          <w:rFonts w:ascii="Times New Roman" w:cs="Times New Roman" w:eastAsia="Times New Roman" w:hAnsi="Times New Roman"/>
          <w:b/>
          <w:noProof/>
          <w:sz w:val="20"/>
          <w:szCs w:val="20"/>
          <w:lang w:bidi="ar-EG"/>
        </w:rPr>
        <w:t>,</w:t>
      </w:r>
      <w:r>
        <w:rPr>
          <w:rFonts w:ascii="Times New Roman" w:cs="Times New Roman" w:eastAsia="Times New Roman" w:hAnsi="Times New Roman"/>
          <w:noProof/>
          <w:sz w:val="20"/>
          <w:szCs w:val="20"/>
          <w:lang w:bidi="ar-EG"/>
        </w:rPr>
        <w:t xml:space="preserve"> 466-468</w:t>
      </w:r>
      <w:r>
        <w:rPr>
          <w:rFonts w:ascii="Times New Roman" w:cs="Times New Roman" w:eastAsia="Times New Roman" w:hAnsi="Times New Roman"/>
          <w:noProof/>
          <w:sz w:val="20"/>
          <w:szCs w:val="20"/>
          <w:rtl/>
          <w:lang w:bidi="ar-EG"/>
        </w:rPr>
        <w:t>.</w:t>
      </w:r>
    </w:p>
    <w:p>
      <w:pPr>
        <w:pStyle w:val="style0"/>
        <w:numPr>
          <w:ilvl w:val="0"/>
          <w:numId w:val="1"/>
        </w:numPr>
        <w:spacing w:before="240" w:after="0" w:lineRule="auto" w:line="240"/>
        <w:jc w:val="lowKashida"/>
        <w:rPr>
          <w:rFonts w:ascii="Times New Roman" w:cs="Times New Roman" w:eastAsia="Times New Roman" w:hAnsi="Times New Roman"/>
          <w:noProof/>
          <w:sz w:val="20"/>
          <w:szCs w:val="20"/>
          <w:rtl/>
          <w:lang w:bidi="ar-EG"/>
        </w:rPr>
      </w:pPr>
      <w:r>
        <w:rPr>
          <w:rFonts w:ascii="Times New Roman" w:cs="Times New Roman" w:eastAsia="Times New Roman" w:hAnsi="Times New Roman"/>
          <w:b/>
          <w:noProof/>
          <w:sz w:val="20"/>
          <w:szCs w:val="20"/>
          <w:lang w:bidi="ar-EG"/>
        </w:rPr>
        <w:t xml:space="preserve">Child, C. G. &amp; Turcotte, J. G. </w:t>
      </w:r>
      <w:r>
        <w:rPr>
          <w:rFonts w:ascii="Times New Roman" w:cs="Times New Roman" w:eastAsia="Times New Roman" w:hAnsi="Times New Roman"/>
          <w:noProof/>
          <w:sz w:val="20"/>
          <w:szCs w:val="20"/>
          <w:lang w:bidi="ar-EG"/>
        </w:rPr>
        <w:t>1964. Surgery</w:t>
      </w:r>
      <w:r>
        <w:rPr>
          <w:rFonts w:ascii="Times New Roman" w:cs="Times New Roman" w:eastAsia="Times New Roman" w:hAnsi="Times New Roman"/>
          <w:noProof/>
          <w:sz w:val="20"/>
          <w:szCs w:val="20"/>
          <w:rtl/>
          <w:lang w:bidi="ar-EG"/>
        </w:rPr>
        <w:t xml:space="preserve"> </w:t>
      </w:r>
      <w:r>
        <w:rPr>
          <w:rFonts w:ascii="Times New Roman" w:cs="Times New Roman" w:eastAsia="Times New Roman" w:hAnsi="Times New Roman"/>
          <w:noProof/>
          <w:sz w:val="20"/>
          <w:szCs w:val="20"/>
          <w:lang w:bidi="ar-EG"/>
        </w:rPr>
        <w:t xml:space="preserve">and portal hypertension. </w:t>
      </w:r>
      <w:r>
        <w:rPr>
          <w:rFonts w:ascii="Times New Roman" w:cs="Times New Roman" w:eastAsia="Times New Roman" w:hAnsi="Times New Roman"/>
          <w:i/>
          <w:noProof/>
          <w:sz w:val="20"/>
          <w:szCs w:val="20"/>
          <w:lang w:bidi="ar-EG"/>
        </w:rPr>
        <w:t>Major Probl Clin Surg,</w:t>
      </w:r>
      <w:r>
        <w:rPr>
          <w:rFonts w:ascii="Times New Roman" w:cs="Times New Roman" w:eastAsia="Times New Roman" w:hAnsi="Times New Roman"/>
          <w:noProof/>
          <w:sz w:val="20"/>
          <w:szCs w:val="20"/>
          <w:lang w:bidi="ar-EG"/>
        </w:rPr>
        <w:t xml:space="preserve"> 1</w:t>
      </w:r>
      <w:r>
        <w:rPr>
          <w:rFonts w:ascii="Times New Roman" w:cs="Times New Roman" w:eastAsia="Times New Roman" w:hAnsi="Times New Roman"/>
          <w:b/>
          <w:noProof/>
          <w:sz w:val="20"/>
          <w:szCs w:val="20"/>
          <w:lang w:bidi="ar-EG"/>
        </w:rPr>
        <w:t>,</w:t>
      </w:r>
      <w:r>
        <w:rPr>
          <w:rFonts w:ascii="Times New Roman" w:cs="Times New Roman" w:eastAsia="Times New Roman" w:hAnsi="Times New Roman"/>
          <w:noProof/>
          <w:sz w:val="20"/>
          <w:szCs w:val="20"/>
          <w:lang w:bidi="ar-EG"/>
        </w:rPr>
        <w:t xml:space="preserve"> 1-85</w:t>
      </w:r>
      <w:r>
        <w:rPr>
          <w:rFonts w:ascii="Times New Roman" w:cs="Times New Roman" w:eastAsia="Times New Roman" w:hAnsi="Times New Roman"/>
          <w:noProof/>
          <w:sz w:val="20"/>
          <w:szCs w:val="20"/>
          <w:rtl/>
          <w:lang w:bidi="ar-EG"/>
        </w:rPr>
        <w:t>.</w:t>
      </w:r>
    </w:p>
    <w:p>
      <w:pPr>
        <w:pStyle w:val="style0"/>
        <w:numPr>
          <w:ilvl w:val="0"/>
          <w:numId w:val="1"/>
        </w:numPr>
        <w:spacing w:before="240" w:after="0" w:lineRule="auto" w:line="240"/>
        <w:jc w:val="lowKashida"/>
        <w:rPr>
          <w:rFonts w:ascii="Times New Roman" w:cs="Times New Roman" w:eastAsia="Times New Roman" w:hAnsi="Times New Roman"/>
          <w:noProof/>
          <w:sz w:val="20"/>
          <w:szCs w:val="20"/>
          <w:rtl/>
          <w:lang w:bidi="ar-EG"/>
        </w:rPr>
      </w:pPr>
      <w:r>
        <w:rPr>
          <w:rFonts w:ascii="Times New Roman" w:cs="Times New Roman" w:eastAsia="Times New Roman" w:hAnsi="Times New Roman"/>
          <w:b/>
          <w:noProof/>
          <w:sz w:val="20"/>
          <w:szCs w:val="20"/>
          <w:lang w:bidi="ar-EG"/>
        </w:rPr>
        <w:t>Chernyak, V., Fowler, K. J., Kamaya</w:t>
      </w:r>
      <w:r>
        <w:rPr>
          <w:rFonts w:ascii="Times New Roman" w:cs="Times New Roman" w:eastAsia="Times New Roman" w:hAnsi="Times New Roman"/>
          <w:b/>
          <w:noProof/>
          <w:sz w:val="20"/>
          <w:szCs w:val="20"/>
          <w:rtl/>
          <w:lang w:bidi="ar-EG"/>
        </w:rPr>
        <w:t xml:space="preserve">, </w:t>
      </w:r>
      <w:r>
        <w:rPr>
          <w:rFonts w:ascii="Times New Roman" w:cs="Times New Roman" w:eastAsia="Times New Roman" w:hAnsi="Times New Roman"/>
          <w:b/>
          <w:noProof/>
          <w:sz w:val="20"/>
          <w:szCs w:val="20"/>
          <w:lang w:bidi="ar-EG"/>
        </w:rPr>
        <w:t xml:space="preserve">A., Kielar, A. Z., Elsayes, K. M., Bashir, M. R., et al. </w:t>
      </w:r>
      <w:r>
        <w:rPr>
          <w:rFonts w:ascii="Times New Roman" w:cs="Times New Roman" w:eastAsia="Times New Roman" w:hAnsi="Times New Roman"/>
          <w:noProof/>
          <w:sz w:val="20"/>
          <w:szCs w:val="20"/>
          <w:lang w:bidi="ar-EG"/>
        </w:rPr>
        <w:t xml:space="preserve">2018. Liver Imaging Reporting and Data System (LI-RADS) Version 2018: Imaging of Hepatocellular Carcinoma in At-Risk Patients. </w:t>
      </w:r>
      <w:r>
        <w:rPr>
          <w:rFonts w:ascii="Times New Roman" w:cs="Times New Roman" w:eastAsia="Times New Roman" w:hAnsi="Times New Roman"/>
          <w:i/>
          <w:noProof/>
          <w:sz w:val="20"/>
          <w:szCs w:val="20"/>
          <w:lang w:bidi="ar-EG"/>
        </w:rPr>
        <w:t>Radiology,</w:t>
      </w:r>
      <w:r>
        <w:rPr>
          <w:rFonts w:ascii="Times New Roman" w:cs="Times New Roman" w:eastAsia="Times New Roman" w:hAnsi="Times New Roman"/>
          <w:noProof/>
          <w:sz w:val="20"/>
          <w:szCs w:val="20"/>
          <w:lang w:bidi="ar-EG"/>
        </w:rPr>
        <w:t xml:space="preserve"> 289</w:t>
      </w:r>
      <w:r>
        <w:rPr>
          <w:rFonts w:ascii="Times New Roman" w:cs="Times New Roman" w:eastAsia="Times New Roman" w:hAnsi="Times New Roman"/>
          <w:b/>
          <w:noProof/>
          <w:sz w:val="20"/>
          <w:szCs w:val="20"/>
          <w:lang w:bidi="ar-EG"/>
        </w:rPr>
        <w:t>,</w:t>
      </w:r>
      <w:r>
        <w:rPr>
          <w:rFonts w:ascii="Times New Roman" w:cs="Times New Roman" w:eastAsia="Times New Roman" w:hAnsi="Times New Roman"/>
          <w:noProof/>
          <w:sz w:val="20"/>
          <w:szCs w:val="20"/>
          <w:lang w:bidi="ar-EG"/>
        </w:rPr>
        <w:t xml:space="preserve"> 816-830</w:t>
      </w:r>
      <w:r>
        <w:rPr>
          <w:rFonts w:ascii="Times New Roman" w:cs="Times New Roman" w:eastAsia="Times New Roman" w:hAnsi="Times New Roman"/>
          <w:noProof/>
          <w:sz w:val="20"/>
          <w:szCs w:val="20"/>
          <w:rtl/>
          <w:lang w:bidi="ar-EG"/>
        </w:rPr>
        <w:t>.</w:t>
      </w:r>
    </w:p>
    <w:p>
      <w:pPr>
        <w:pStyle w:val="style4100"/>
        <w:spacing w:after="0" w:lineRule="auto" w:line="240"/>
        <w:jc w:val="lowKashida"/>
        <w:rPr>
          <w:sz w:val="20"/>
          <w:szCs w:val="20"/>
        </w:rPr>
      </w:pPr>
    </w:p>
    <w:sectPr>
      <w:type w:val="continuous"/>
      <w:pgSz w:w="11906" w:h="16838" w:orient="portrait" w:code="9"/>
      <w:pgMar w:top="1440" w:right="1800" w:bottom="1440" w:left="1800" w:header="720" w:footer="720" w:gutter="0"/>
      <w:cols w:space="720" w:num="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 w:name="SimSun">
    <w:altName w:val="宋体"/>
    <w:panose1 w:val="02010600030001010101"/>
    <w:charset w:val="86"/>
    <w:family w:val="auto"/>
    <w:pitch w:val="variable"/>
    <w:sig w:usb0="00000203" w:usb1="288F0000" w:usb2="00000016" w:usb3="00000000" w:csb0="00040001" w:csb1="00000000"/>
  </w:font>
  <w:font w:name="Tahoma">
    <w:altName w:val="Tahoma"/>
    <w:panose1 w:val="020b0604030005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4094E3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2B107FFA"/>
    <w:lvl w:ilvl="0" w:tplc="5F8E28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1EAAC24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nsid w:val="00000003"/>
    <w:multiLevelType w:val="hybridMultilevel"/>
    <w:tmpl w:val="AF10A97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0000004"/>
    <w:multiLevelType w:val="hybridMultilevel"/>
    <w:tmpl w:val="33D6FD72"/>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cs="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cs="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cs="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nsid w:val="00000005"/>
    <w:multiLevelType w:val="hybridMultilevel"/>
    <w:tmpl w:val="3662AB3E"/>
    <w:lvl w:ilvl="0" w:tplc="CA7203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93B4DA34"/>
    <w:lvl w:ilvl="0" w:tplc="08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0000007"/>
    <w:multiLevelType w:val="hybridMultilevel"/>
    <w:tmpl w:val="D36094E4"/>
    <w:lvl w:ilvl="0" w:tplc="911C556C">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0000008"/>
    <w:multiLevelType w:val="hybridMultilevel"/>
    <w:tmpl w:val="8A4CE96E"/>
    <w:lvl w:ilvl="0" w:tplc="DE3A171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C3566A76"/>
    <w:lvl w:ilvl="0" w:tplc="08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0000000A"/>
    <w:multiLevelType w:val="hybridMultilevel"/>
    <w:tmpl w:val="6DF48742"/>
    <w:lvl w:ilvl="0" w:tplc="04090003">
      <w:start w:val="1"/>
      <w:numFmt w:val="bullet"/>
      <w:lvlText w:val="o"/>
      <w:lvlJc w:val="left"/>
      <w:pPr>
        <w:ind w:left="1440" w:hanging="360"/>
      </w:pPr>
      <w:rPr>
        <w:rFonts w:ascii="Courier New" w:cs="Courier New" w:hAnsi="Courier New"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0000000B"/>
    <w:multiLevelType w:val="hybridMultilevel"/>
    <w:tmpl w:val="621E9C96"/>
    <w:lvl w:ilvl="0" w:tplc="08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0000000C"/>
    <w:multiLevelType w:val="hybridMultilevel"/>
    <w:tmpl w:val="CA84D5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D"/>
    <w:multiLevelType w:val="hybridMultilevel"/>
    <w:tmpl w:val="307A1A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E"/>
    <w:multiLevelType w:val="hybridMultilevel"/>
    <w:tmpl w:val="8ED025A4"/>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0000000F"/>
    <w:multiLevelType w:val="hybridMultilevel"/>
    <w:tmpl w:val="60FC3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5"/>
  </w:num>
  <w:num w:numId="3">
    <w:abstractNumId w:val="1"/>
  </w:num>
  <w:num w:numId="4">
    <w:abstractNumId w:val="11"/>
  </w:num>
  <w:num w:numId="5">
    <w:abstractNumId w:val="6"/>
  </w:num>
  <w:num w:numId="6">
    <w:abstractNumId w:val="9"/>
  </w:num>
  <w:num w:numId="7">
    <w:abstractNumId w:val="7"/>
  </w:num>
  <w:num w:numId="8">
    <w:abstractNumId w:val="0"/>
  </w:num>
  <w:num w:numId="9">
    <w:abstractNumId w:val="8"/>
  </w:num>
  <w:num w:numId="10">
    <w:abstractNumId w:val="10"/>
  </w:num>
  <w:num w:numId="11">
    <w:abstractNumId w:val="2"/>
  </w:num>
  <w:num w:numId="12">
    <w:abstractNumId w:val="4"/>
  </w:num>
  <w:num w:numId="13">
    <w:abstractNumId w:val="13"/>
  </w:num>
  <w:num w:numId="14">
    <w:abstractNumId w:val="12"/>
  </w:num>
  <w:num w:numId="15">
    <w:abstractNumId w:val="14"/>
  </w:num>
  <w:num w:numId="16">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pPr/>
  </w:style>
  <w:style w:type="paragraph" w:styleId="style1">
    <w:name w:val="heading 1"/>
    <w:basedOn w:val="style0"/>
    <w:next w:val="style0"/>
    <w:link w:val="style4103"/>
    <w:qFormat/>
    <w:uiPriority w:val="9"/>
    <w:pPr>
      <w:keepNext/>
      <w:keepLines/>
      <w:spacing w:before="240" w:after="0"/>
      <w:outlineLvl w:val="0"/>
    </w:pPr>
    <w:rPr>
      <w:rFonts w:ascii="Calibri Light" w:cs="Times New Roman" w:eastAsia="宋体" w:hAnsi="Calibri Light"/>
      <w:color w:val="2f5496"/>
      <w:sz w:val="32"/>
      <w:szCs w:val="32"/>
    </w:rPr>
  </w:style>
  <w:style w:type="paragraph" w:styleId="style2">
    <w:name w:val="heading 2"/>
    <w:basedOn w:val="style0"/>
    <w:next w:val="style0"/>
    <w:link w:val="style4116"/>
    <w:qFormat/>
    <w:uiPriority w:val="9"/>
    <w:pPr>
      <w:keepNext/>
      <w:keepLines/>
      <w:spacing w:before="40" w:after="0"/>
      <w:outlineLvl w:val="1"/>
    </w:pPr>
    <w:rPr>
      <w:rFonts w:ascii="Calibri Light" w:cs="Times New Roman" w:eastAsia="宋体" w:hAnsi="Calibri Light"/>
      <w:color w:val="2f5496"/>
      <w:sz w:val="26"/>
      <w:szCs w:val="26"/>
    </w:rPr>
  </w:style>
  <w:style w:type="paragraph" w:styleId="style3">
    <w:name w:val="heading 3"/>
    <w:basedOn w:val="style0"/>
    <w:next w:val="style0"/>
    <w:link w:val="style4124"/>
    <w:qFormat/>
    <w:uiPriority w:val="9"/>
    <w:pPr>
      <w:keepNext/>
      <w:keepLines/>
      <w:spacing w:before="200" w:after="0"/>
      <w:outlineLvl w:val="2"/>
    </w:pPr>
    <w:rPr>
      <w:rFonts w:ascii="Calibri Light" w:cs="Times New Roman" w:eastAsia="宋体" w:hAnsi="Calibri Light"/>
      <w:b/>
      <w:bCs/>
      <w:color w:val="4472c4"/>
    </w:rPr>
  </w:style>
  <w:style w:type="paragraph" w:styleId="style6">
    <w:name w:val="heading 6"/>
    <w:basedOn w:val="style0"/>
    <w:next w:val="style0"/>
    <w:link w:val="style4113"/>
    <w:pPr>
      <w:keepNext/>
      <w:spacing w:after="0" w:lineRule="auto" w:line="240"/>
      <w:ind w:left="360"/>
      <w:jc w:val="center"/>
      <w:outlineLvl w:val="5"/>
    </w:pPr>
    <w:rPr>
      <w:rFonts w:ascii="Times New Roman" w:cs="Times New Roman" w:eastAsia="Times New Roman" w:hAnsi="Times New Roman"/>
      <w:b/>
      <w:i/>
      <w:sz w:val="56"/>
      <w:szCs w:val="56"/>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P"/>
    <w:basedOn w:val="style0"/>
    <w:next w:val="style4097"/>
    <w:link w:val="style4098"/>
    <w:qFormat/>
    <w:pPr>
      <w:autoSpaceDE w:val="false"/>
      <w:autoSpaceDN w:val="false"/>
      <w:adjustRightInd w:val="false"/>
      <w:spacing w:after="240" w:lineRule="auto" w:line="276"/>
      <w:ind w:firstLine="720"/>
      <w:jc w:val="both"/>
    </w:pPr>
    <w:rPr>
      <w:rFonts w:ascii="Times New Roman" w:cs="Times New Roman" w:eastAsia="SimSun" w:hAnsi="Times New Roman"/>
      <w:color w:val="000000"/>
      <w:sz w:val="24"/>
      <w:szCs w:val="24"/>
      <w:lang w:val="en-GB" w:eastAsia="zh-CN"/>
    </w:rPr>
  </w:style>
  <w:style w:type="character" w:customStyle="1" w:styleId="style4098">
    <w:name w:val="P Char"/>
    <w:next w:val="style4098"/>
    <w:link w:val="style4097"/>
    <w:rPr>
      <w:rFonts w:ascii="Times New Roman" w:cs="Times New Roman" w:eastAsia="SimSun" w:hAnsi="Times New Roman"/>
      <w:color w:val="000000"/>
      <w:sz w:val="24"/>
      <w:szCs w:val="24"/>
      <w:lang w:val="en-GB" w:eastAsia="zh-CN"/>
    </w:rPr>
  </w:style>
  <w:style w:type="character" w:customStyle="1" w:styleId="style4099">
    <w:name w:val="H1 Char"/>
    <w:next w:val="style4099"/>
    <w:link w:val="style4100"/>
    <w:rPr>
      <w:rFonts w:ascii="Times New Roman" w:cs="Times New Roman" w:eastAsia="SimSun" w:hAnsi="Times New Roman"/>
      <w:b/>
      <w:bCs/>
      <w:color w:val="000000"/>
      <w:sz w:val="24"/>
      <w:szCs w:val="24"/>
      <w:lang w:val="en-GB" w:eastAsia="zh-CN"/>
    </w:rPr>
  </w:style>
  <w:style w:type="paragraph" w:customStyle="1" w:styleId="style4100">
    <w:name w:val="H1"/>
    <w:basedOn w:val="style4106"/>
    <w:next w:val="style4100"/>
    <w:link w:val="style4099"/>
    <w:qFormat/>
    <w:pPr>
      <w:spacing w:before="240"/>
      <w:ind w:firstLine="0"/>
    </w:pPr>
    <w:rPr>
      <w:b/>
      <w:bCs/>
    </w:rPr>
  </w:style>
  <w:style w:type="paragraph" w:customStyle="1" w:styleId="style4101">
    <w:name w:val="Title-"/>
    <w:basedOn w:val="style1"/>
    <w:next w:val="style4101"/>
    <w:link w:val="style4102"/>
    <w:qFormat/>
    <w:pPr>
      <w:keepNext w:val="false"/>
      <w:keepLines w:val="false"/>
      <w:autoSpaceDE w:val="false"/>
      <w:autoSpaceDN w:val="false"/>
      <w:adjustRightInd w:val="false"/>
      <w:spacing w:before="0" w:lineRule="auto" w:line="480"/>
      <w:jc w:val="center"/>
      <w:contextualSpacing/>
    </w:pPr>
    <w:rPr>
      <w:rFonts w:ascii="Times New Roman" w:cs="Times New Roman" w:eastAsia="Times New Roman" w:hAnsi="Times New Roman"/>
      <w:b/>
      <w:bCs/>
      <w:color w:val="000000"/>
      <w:sz w:val="28"/>
      <w:szCs w:val="28"/>
    </w:rPr>
  </w:style>
  <w:style w:type="character" w:customStyle="1" w:styleId="style4102">
    <w:name w:val="Title- Char"/>
    <w:next w:val="style4102"/>
    <w:link w:val="style4101"/>
    <w:rPr>
      <w:rFonts w:ascii="Times New Roman" w:cs="Times New Roman" w:eastAsia="Times New Roman" w:hAnsi="Times New Roman"/>
      <w:b/>
      <w:bCs/>
      <w:color w:val="000000"/>
      <w:sz w:val="28"/>
      <w:szCs w:val="28"/>
    </w:rPr>
  </w:style>
  <w:style w:type="character" w:customStyle="1" w:styleId="style4103">
    <w:name w:val="Heading 1 Char_b1ef058f-fcf4-405d-9fdb-e2aa537e24ca"/>
    <w:basedOn w:val="style65"/>
    <w:next w:val="style4103"/>
    <w:link w:val="style1"/>
    <w:uiPriority w:val="9"/>
    <w:rPr>
      <w:rFonts w:ascii="Calibri Light" w:cs="Times New Roman" w:eastAsia="宋体" w:hAnsi="Calibri Light"/>
      <w:color w:val="2f5496"/>
      <w:sz w:val="32"/>
      <w:szCs w:val="32"/>
    </w:rPr>
  </w:style>
  <w:style w:type="paragraph" w:styleId="style179">
    <w:name w:val="List Paragraph"/>
    <w:basedOn w:val="style0"/>
    <w:next w:val="style179"/>
    <w:link w:val="style4117"/>
    <w:qFormat/>
    <w:uiPriority w:val="34"/>
    <w:pPr>
      <w:ind w:left="720"/>
      <w:contextualSpacing/>
    </w:pPr>
    <w:rPr/>
  </w:style>
  <w:style w:type="paragraph" w:customStyle="1" w:styleId="style4104">
    <w:name w:val="Default"/>
    <w:next w:val="style4104"/>
    <w:pPr>
      <w:autoSpaceDE w:val="false"/>
      <w:autoSpaceDN w:val="false"/>
      <w:adjustRightInd w:val="false"/>
      <w:spacing w:after="0" w:lineRule="auto" w:line="240"/>
    </w:pPr>
    <w:rPr>
      <w:rFonts w:ascii="Times New Roman" w:cs="Times New Roman" w:hAnsi="Times New Roman"/>
      <w:color w:val="000000"/>
      <w:sz w:val="24"/>
      <w:szCs w:val="24"/>
    </w:rPr>
  </w:style>
  <w:style w:type="character" w:customStyle="1" w:styleId="style4105">
    <w:name w:val="fontstyle01"/>
    <w:basedOn w:val="style65"/>
    <w:next w:val="style4105"/>
    <w:rPr>
      <w:rFonts w:ascii="Times New Roman" w:cs="Times New Roman" w:hAnsi="Times New Roman" w:hint="default"/>
      <w:b/>
      <w:bCs/>
      <w:i w:val="false"/>
      <w:iCs w:val="false"/>
      <w:color w:val="000000"/>
      <w:sz w:val="20"/>
      <w:szCs w:val="20"/>
    </w:rPr>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customStyle="1" w:styleId="style4106">
    <w:name w:val="Style1"/>
    <w:basedOn w:val="style4097"/>
    <w:next w:val="style4106"/>
    <w:link w:val="style4108"/>
    <w:qFormat/>
    <w:pPr/>
  </w:style>
  <w:style w:type="paragraph" w:customStyle="1" w:styleId="style4107">
    <w:name w:val="EndNote Bibliography Title"/>
    <w:basedOn w:val="style0"/>
    <w:next w:val="style4107"/>
    <w:link w:val="style4109"/>
    <w:pPr>
      <w:spacing w:after="0"/>
      <w:jc w:val="center"/>
    </w:pPr>
    <w:rPr>
      <w:rFonts w:ascii="Times New Roman" w:cs="Times New Roman" w:hAnsi="Times New Roman"/>
      <w:noProof/>
      <w:sz w:val="24"/>
    </w:rPr>
  </w:style>
  <w:style w:type="character" w:customStyle="1" w:styleId="style4108">
    <w:name w:val="Style1 Char"/>
    <w:basedOn w:val="style4098"/>
    <w:next w:val="style4108"/>
    <w:link w:val="style4106"/>
    <w:rPr>
      <w:rFonts w:ascii="Times New Roman" w:cs="Times New Roman" w:eastAsia="SimSun" w:hAnsi="Times New Roman"/>
      <w:color w:val="000000"/>
      <w:sz w:val="24"/>
      <w:szCs w:val="24"/>
      <w:lang w:val="en-GB" w:eastAsia="zh-CN"/>
    </w:rPr>
  </w:style>
  <w:style w:type="character" w:customStyle="1" w:styleId="style4109">
    <w:name w:val="EndNote Bibliography Title Char"/>
    <w:basedOn w:val="style4108"/>
    <w:next w:val="style4109"/>
    <w:link w:val="style4107"/>
    <w:rPr>
      <w:rFonts w:ascii="Times New Roman" w:cs="Times New Roman" w:eastAsia="SimSun" w:hAnsi="Times New Roman"/>
      <w:noProof/>
      <w:color w:val="000000"/>
      <w:sz w:val="24"/>
      <w:szCs w:val="24"/>
      <w:lang w:val="en-GB" w:eastAsia="zh-CN"/>
    </w:rPr>
  </w:style>
  <w:style w:type="paragraph" w:customStyle="1" w:styleId="style4110">
    <w:name w:val="EndNote Bibliography"/>
    <w:basedOn w:val="style0"/>
    <w:next w:val="style4110"/>
    <w:link w:val="style4111"/>
    <w:pPr>
      <w:spacing w:lineRule="auto" w:line="240"/>
      <w:jc w:val="both"/>
    </w:pPr>
    <w:rPr>
      <w:rFonts w:ascii="Times New Roman" w:cs="Times New Roman" w:hAnsi="Times New Roman"/>
      <w:noProof/>
      <w:sz w:val="24"/>
    </w:rPr>
  </w:style>
  <w:style w:type="character" w:customStyle="1" w:styleId="style4111">
    <w:name w:val="EndNote Bibliography Char"/>
    <w:basedOn w:val="style4108"/>
    <w:next w:val="style4111"/>
    <w:link w:val="style4110"/>
    <w:rPr>
      <w:rFonts w:ascii="Times New Roman" w:cs="Times New Roman" w:eastAsia="SimSun" w:hAnsi="Times New Roman"/>
      <w:noProof/>
      <w:color w:val="000000"/>
      <w:sz w:val="24"/>
      <w:szCs w:val="24"/>
      <w:lang w:val="en-GB" w:eastAsia="zh-CN"/>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5">
    <w:name w:val="Hyperlink"/>
    <w:basedOn w:val="style65"/>
    <w:next w:val="style85"/>
    <w:uiPriority w:val="99"/>
    <w:rPr>
      <w:color w:val="0563c1"/>
      <w:u w:val="single"/>
    </w:rPr>
  </w:style>
  <w:style w:type="character" w:customStyle="1" w:styleId="style4112">
    <w:name w:val="Unresolved Mention1"/>
    <w:basedOn w:val="style65"/>
    <w:next w:val="style4112"/>
    <w:uiPriority w:val="99"/>
    <w:rPr>
      <w:color w:val="605e5c"/>
      <w:shd w:val="clear" w:color="auto" w:fill="e1dfdd"/>
    </w:rPr>
  </w:style>
  <w:style w:type="character" w:customStyle="1" w:styleId="style4113">
    <w:name w:val="Heading 6 Char_49f81039-2cdd-42e6-8d88-57d8b7d51e21"/>
    <w:basedOn w:val="style65"/>
    <w:next w:val="style4113"/>
    <w:link w:val="style6"/>
    <w:rPr>
      <w:rFonts w:ascii="Times New Roman" w:cs="Times New Roman" w:eastAsia="Times New Roman" w:hAnsi="Times New Roman"/>
      <w:b/>
      <w:i/>
      <w:sz w:val="56"/>
      <w:szCs w:val="56"/>
    </w:rPr>
  </w:style>
  <w:style w:type="paragraph" w:styleId="style34">
    <w:name w:val="caption"/>
    <w:basedOn w:val="style0"/>
    <w:next w:val="style0"/>
    <w:qFormat/>
    <w:uiPriority w:val="35"/>
    <w:pPr>
      <w:spacing w:after="200" w:lineRule="auto" w:line="240"/>
    </w:pPr>
    <w:rPr>
      <w:rFonts w:ascii="Times New Roman" w:hAnsi="Times New Roman"/>
      <w:b/>
      <w:iCs/>
      <w:color w:val="44546a"/>
      <w:sz w:val="28"/>
      <w:szCs w:val="18"/>
    </w:rPr>
  </w:style>
  <w:style w:type="character" w:customStyle="1" w:styleId="style4114">
    <w:name w:val="metadata--author-name"/>
    <w:basedOn w:val="style65"/>
    <w:next w:val="style4114"/>
  </w:style>
  <w:style w:type="paragraph" w:styleId="style157">
    <w:name w:val="No Spacing"/>
    <w:next w:val="style157"/>
    <w:qFormat/>
    <w:uiPriority w:val="1"/>
    <w:pPr>
      <w:spacing w:after="240" w:lineRule="auto" w:line="240"/>
    </w:pPr>
    <w:rPr>
      <w:rFonts w:ascii="Times New Roman" w:cs="Times New Roman" w:eastAsia="Calibri" w:hAnsi="Times New Roman"/>
      <w:sz w:val="20"/>
      <w:szCs w:val="20"/>
    </w:rPr>
  </w:style>
  <w:style w:type="table" w:customStyle="1" w:styleId="style4115">
    <w:name w:val="شبكة جدول1"/>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customStyle="1" w:styleId="style4116">
    <w:name w:val="Heading 2 Char_e6c99db7-0c0d-4823-b8e3-5d3017b4a8fa"/>
    <w:basedOn w:val="style65"/>
    <w:next w:val="style4116"/>
    <w:link w:val="style2"/>
    <w:uiPriority w:val="9"/>
    <w:rPr>
      <w:rFonts w:ascii="Calibri Light" w:cs="Times New Roman" w:eastAsia="宋体" w:hAnsi="Calibri Light"/>
      <w:color w:val="2f5496"/>
      <w:sz w:val="26"/>
      <w:szCs w:val="26"/>
    </w:rPr>
  </w:style>
  <w:style w:type="character" w:customStyle="1" w:styleId="style4117">
    <w:name w:val="List Paragraph Char"/>
    <w:basedOn w:val="style65"/>
    <w:next w:val="style4117"/>
    <w:link w:val="style179"/>
    <w:uiPriority w:val="1"/>
  </w:style>
  <w:style w:type="paragraph" w:styleId="style31">
    <w:name w:val="header"/>
    <w:basedOn w:val="style0"/>
    <w:next w:val="style31"/>
    <w:link w:val="style4118"/>
    <w:uiPriority w:val="99"/>
    <w:pPr>
      <w:tabs>
        <w:tab w:val="center" w:leader="none" w:pos="4153"/>
        <w:tab w:val="right" w:leader="none" w:pos="8306"/>
      </w:tabs>
      <w:spacing w:after="0" w:lineRule="auto" w:line="240"/>
    </w:pPr>
    <w:rPr/>
  </w:style>
  <w:style w:type="character" w:customStyle="1" w:styleId="style4118">
    <w:name w:val="Header Char_7a10ef74-767a-49a8-9caa-8195db468e14"/>
    <w:basedOn w:val="style65"/>
    <w:next w:val="style4118"/>
    <w:link w:val="style31"/>
    <w:uiPriority w:val="99"/>
  </w:style>
  <w:style w:type="paragraph" w:styleId="style32">
    <w:name w:val="footer"/>
    <w:basedOn w:val="style0"/>
    <w:next w:val="style32"/>
    <w:link w:val="style4119"/>
    <w:uiPriority w:val="99"/>
    <w:pPr>
      <w:tabs>
        <w:tab w:val="center" w:leader="none" w:pos="4153"/>
        <w:tab w:val="right" w:leader="none" w:pos="8306"/>
      </w:tabs>
      <w:spacing w:after="0" w:lineRule="auto" w:line="240"/>
    </w:pPr>
    <w:rPr/>
  </w:style>
  <w:style w:type="character" w:customStyle="1" w:styleId="style4119">
    <w:name w:val="Footer Char_5954690b-3831-4f4b-9375-8a46eca4aad2"/>
    <w:basedOn w:val="style65"/>
    <w:next w:val="style4119"/>
    <w:link w:val="style32"/>
    <w:uiPriority w:val="99"/>
  </w:style>
  <w:style w:type="paragraph" w:customStyle="1" w:styleId="style4120">
    <w:name w:val="Footnote"/>
    <w:basedOn w:val="style0"/>
    <w:next w:val="style4120"/>
    <w:link w:val="style4121"/>
    <w:qFormat/>
    <w:pPr>
      <w:autoSpaceDE w:val="false"/>
      <w:autoSpaceDN w:val="false"/>
      <w:adjustRightInd w:val="false"/>
      <w:spacing w:after="0" w:lineRule="auto" w:line="240"/>
      <w:jc w:val="both"/>
    </w:pPr>
    <w:rPr>
      <w:rFonts w:ascii="Times New Roman" w:cs="Times New Roman" w:eastAsia="SimSun" w:hAnsi="Times New Roman"/>
      <w:noProof/>
      <w:color w:val="000000"/>
      <w:sz w:val="20"/>
      <w:szCs w:val="20"/>
      <w:shd w:val="clear" w:color="auto" w:fill="ffffff"/>
      <w:lang w:val="en-GB" w:eastAsia="zh-CN"/>
    </w:rPr>
  </w:style>
  <w:style w:type="character" w:customStyle="1" w:styleId="style4121">
    <w:name w:val="Footnote Char"/>
    <w:basedOn w:val="style4098"/>
    <w:next w:val="style4121"/>
    <w:link w:val="style4120"/>
    <w:rPr>
      <w:rFonts w:ascii="Times New Roman" w:cs="Times New Roman" w:eastAsia="SimSun" w:hAnsi="Times New Roman"/>
      <w:noProof/>
      <w:color w:val="000000"/>
      <w:sz w:val="20"/>
      <w:szCs w:val="20"/>
      <w:lang w:val="en-GB" w:eastAsia="zh-CN"/>
    </w:rPr>
  </w:style>
  <w:style w:type="table" w:customStyle="1" w:styleId="style4122">
    <w:name w:val="Grid Table 4 - Accent 412"/>
    <w:basedOn w:val="style105"/>
    <w:next w:val="style4122"/>
    <w:uiPriority w:val="49"/>
    <w:pPr>
      <w:spacing w:after="0" w:lineRule="auto" w:line="240"/>
    </w:pPr>
    <w:rPr>
      <w:rFonts w:eastAsia="宋体"/>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pPr/>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pPr/>
      <w:rPr>
        <w:b/>
        <w:bCs/>
      </w:rPr>
      <w:tblPr/>
      <w:tcPr>
        <w:tcBorders>
          <w:top w:val="double" w:sz="4" w:space="0" w:color="ffc000"/>
        </w:tcBorders>
      </w:tcPr>
    </w:tblStylePr>
    <w:tblStylePr w:type="band1Horz">
      <w:pPr/>
      <w:tblPr/>
      <w:tcPr>
        <w:tcBorders/>
        <w:shd w:val="clear" w:color="auto" w:fill="fff2cc"/>
      </w:tcPr>
    </w:tblStylePr>
    <w:tblStylePr w:type="firstCol">
      <w:pPr/>
      <w:rPr>
        <w:b/>
        <w:bCs/>
      </w:rPr>
      <w:tcPr>
        <w:tcBorders/>
      </w:tcPr>
    </w:tblStylePr>
    <w:tblStylePr w:type="lastCol">
      <w:pPr/>
      <w:rPr>
        <w:b/>
        <w:bCs/>
      </w:rPr>
      <w:tcPr>
        <w:tcBorders/>
      </w:tcPr>
    </w:tblStylePr>
    <w:tblStylePr w:type="band1Vert">
      <w:pPr/>
      <w:tblPr/>
      <w:tcPr>
        <w:tcBorders/>
        <w:shd w:val="clear" w:color="auto" w:fill="fff2cc"/>
      </w:tcPr>
    </w:tblStylePr>
    <w:tcPr>
      <w:tcBorders/>
    </w:tcPr>
  </w:style>
  <w:style w:type="paragraph" w:styleId="style153">
    <w:name w:val="Balloon Text"/>
    <w:basedOn w:val="style0"/>
    <w:next w:val="style153"/>
    <w:link w:val="style4123"/>
    <w:uiPriority w:val="99"/>
    <w:pPr>
      <w:spacing w:after="0" w:lineRule="auto" w:line="240"/>
    </w:pPr>
    <w:rPr>
      <w:rFonts w:ascii="Tahoma" w:cs="Tahoma" w:hAnsi="Tahoma"/>
      <w:sz w:val="16"/>
      <w:szCs w:val="16"/>
    </w:rPr>
  </w:style>
  <w:style w:type="character" w:customStyle="1" w:styleId="style4123">
    <w:name w:val="Balloon Text Char"/>
    <w:basedOn w:val="style65"/>
    <w:next w:val="style4123"/>
    <w:link w:val="style153"/>
    <w:uiPriority w:val="99"/>
    <w:rPr>
      <w:rFonts w:ascii="Tahoma" w:cs="Tahoma" w:hAnsi="Tahoma"/>
      <w:sz w:val="16"/>
      <w:szCs w:val="16"/>
    </w:rPr>
  </w:style>
  <w:style w:type="character" w:customStyle="1" w:styleId="style4124">
    <w:name w:val="Heading 3 Char_e9fa1953-e294-4853-85e9-12a99bf2933c"/>
    <w:basedOn w:val="style65"/>
    <w:next w:val="style4124"/>
    <w:link w:val="style3"/>
    <w:uiPriority w:val="9"/>
    <w:rPr>
      <w:rFonts w:ascii="Calibri Light" w:cs="Times New Roman" w:eastAsia="宋体" w:hAnsi="Calibri Light"/>
      <w:b/>
      <w:bCs/>
      <w:color w:val="4472c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4267</Words>
  <Pages>8</Pages>
  <Characters>24385</Characters>
  <Application>WPS Office</Application>
  <DocSecurity>0</DocSecurity>
  <Paragraphs>115</Paragraphs>
  <ScaleCrop>false</ScaleCrop>
  <LinksUpToDate>false</LinksUpToDate>
  <CharactersWithSpaces>28548</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2024-10-11T11:38:35Z</dcterms:created>
  <dc:creator>Mostafa Sami Madbouly Mr.</dc:creator>
  <lastModifiedBy>RMX2170</lastModifiedBy>
  <lastPrinted>2023-06-21T15:56:00Z</lastPrinted>
  <dcterms:modified xsi:type="dcterms:W3CDTF">2024-10-11T11:38:36Z</dcterms:modified>
  <revision>613</revision>
</coreProperties>
</file>

<file path=docProps/custom.xml><?xml version="1.0" encoding="utf-8"?>
<Properties xmlns="http://schemas.openxmlformats.org/officeDocument/2006/custom-properties" xmlns:vt="http://schemas.openxmlformats.org/officeDocument/2006/docPropsVTypes"/>
</file>